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3012" w14:textId="77777777" w:rsidR="006D1FFB" w:rsidRDefault="00000000">
      <w:pPr>
        <w:keepNext/>
        <w:spacing w:before="280" w:after="120"/>
      </w:pPr>
      <w:r>
        <w:rPr>
          <w:b/>
          <w:color w:val="F08013"/>
          <w:sz w:val="44"/>
        </w:rPr>
        <w:t>Cyber Security Policy</w:t>
      </w:r>
    </w:p>
    <w:p w14:paraId="44C3D93D" w14:textId="77777777" w:rsidR="006D1FFB" w:rsidRDefault="00000000">
      <w:pPr>
        <w:spacing w:after="120"/>
      </w:pPr>
      <w:r>
        <w:rPr>
          <w:b/>
        </w:rPr>
        <w:t>[CLIENT NAME]</w:t>
      </w:r>
      <w:r>
        <w:t xml:space="preserve"> · Version 1.0 · [DATE]</w:t>
      </w:r>
    </w:p>
    <w:p w14:paraId="2871C391" w14:textId="77777777" w:rsidR="006D1FFB" w:rsidRDefault="006D1FFB">
      <w:pPr>
        <w:pBdr>
          <w:bottom w:val="single" w:sz="6" w:space="1" w:color="F08013"/>
        </w:pBdr>
      </w:pPr>
    </w:p>
    <w:p w14:paraId="2F685350" w14:textId="77777777" w:rsidR="006D1FFB" w:rsidRDefault="00000000">
      <w:pPr>
        <w:keepNext/>
        <w:spacing w:before="280" w:after="120"/>
      </w:pPr>
      <w:r>
        <w:rPr>
          <w:b/>
          <w:color w:val="F08013"/>
          <w:sz w:val="28"/>
        </w:rPr>
        <w:t>1. Purpose and scope</w:t>
      </w:r>
    </w:p>
    <w:p w14:paraId="50510266" w14:textId="77777777" w:rsidR="006D1FFB" w:rsidRDefault="00000000">
      <w:pPr>
        <w:spacing w:after="120"/>
      </w:pPr>
      <w:r>
        <w:t xml:space="preserve">This policy sets out how </w:t>
      </w:r>
      <w:r>
        <w:rPr>
          <w:b/>
        </w:rPr>
        <w:t>[CLIENT NAME]</w:t>
      </w:r>
      <w:r>
        <w:t xml:space="preserve"> protects the information, systems, and people we're responsible for. It exists so that our controls are documented, consistent, and defensible to customers, insurers, and regulators.</w:t>
      </w:r>
    </w:p>
    <w:p w14:paraId="4ED5D0D4" w14:textId="77777777" w:rsidR="006D1FFB" w:rsidRDefault="00000000">
      <w:pPr>
        <w:spacing w:after="120"/>
      </w:pPr>
      <w:r>
        <w:t>It applies to every employee, contractor, and third party who uses our systems or handles our data, across all devices and locations - on premises, at home, or in the field.</w:t>
      </w:r>
    </w:p>
    <w:p w14:paraId="7BB943AE" w14:textId="77777777" w:rsidR="006D1FFB" w:rsidRDefault="00000000">
      <w:pPr>
        <w:spacing w:after="120"/>
      </w:pPr>
      <w:r>
        <w:t xml:space="preserve">This policy sits alongside the </w:t>
      </w:r>
      <w:r>
        <w:rPr>
          <w:b/>
        </w:rPr>
        <w:t>Staff Technology Policy</w:t>
      </w:r>
      <w:r>
        <w:t xml:space="preserve"> (practical day-to-day guidance for staff) and is informed by the </w:t>
      </w:r>
      <w:r>
        <w:rPr>
          <w:b/>
        </w:rPr>
        <w:t>CIS Critical Security Controls v8.1</w:t>
      </w:r>
      <w:r>
        <w:t xml:space="preserve"> and the </w:t>
      </w:r>
      <w:r>
        <w:rPr>
          <w:b/>
        </w:rPr>
        <w:t>New Zealand Privacy Act 2020</w:t>
      </w:r>
      <w:r>
        <w:t>. Where specific tooling is named as `[CLIENT-SPECIFIC]`, the named platform forms part of this policy by reference.</w:t>
      </w:r>
    </w:p>
    <w:p w14:paraId="0D667548" w14:textId="77777777" w:rsidR="006D1FFB" w:rsidRDefault="00000000">
      <w:pPr>
        <w:keepNext/>
        <w:spacing w:before="280" w:after="120"/>
      </w:pPr>
      <w:r>
        <w:rPr>
          <w:b/>
          <w:color w:val="F08013"/>
          <w:sz w:val="28"/>
        </w:rPr>
        <w:t>2. Roles and responsibilities</w:t>
      </w:r>
    </w:p>
    <w:p w14:paraId="2EAE036E" w14:textId="77777777" w:rsidR="006D1FFB" w:rsidRDefault="00000000">
      <w:pPr>
        <w:spacing w:after="120"/>
      </w:pPr>
      <w:r>
        <w:rPr>
          <w:b/>
        </w:rPr>
        <w:t>Director / Business Owner</w:t>
      </w:r>
      <w:r>
        <w:t xml:space="preserve"> is ultimately accountable for information security, approves this policy, and reviews it at least annually.</w:t>
      </w:r>
    </w:p>
    <w:p w14:paraId="64C6563F" w14:textId="77777777" w:rsidR="006D1FFB" w:rsidRDefault="00000000">
      <w:pPr>
        <w:spacing w:after="120"/>
      </w:pPr>
      <w:r>
        <w:rPr>
          <w:b/>
        </w:rPr>
        <w:t>Appointed Security Lead</w:t>
      </w:r>
      <w:r>
        <w:t xml:space="preserve"> (named in Appendix C) is responsible for day-to-day oversight: coordinating with our IT provider, tracking risks, and convening incident response.</w:t>
      </w:r>
    </w:p>
    <w:p w14:paraId="27E78D13" w14:textId="77777777" w:rsidR="006D1FFB" w:rsidRDefault="00000000">
      <w:pPr>
        <w:spacing w:after="120"/>
      </w:pPr>
      <w:r>
        <w:rPr>
          <w:b/>
        </w:rPr>
        <w:t>IT Provider</w:t>
      </w:r>
      <w:r>
        <w:t xml:space="preserve"> ([CLIENT-SPECIFIC - e.g. HybrIT Services NZ]) operates the technical controls described in this policy under our direction and reports against them monthly.</w:t>
      </w:r>
    </w:p>
    <w:p w14:paraId="791BD1BD" w14:textId="77777777" w:rsidR="006D1FFB" w:rsidRDefault="00000000">
      <w:pPr>
        <w:spacing w:after="120"/>
      </w:pPr>
      <w:r>
        <w:rPr>
          <w:b/>
        </w:rPr>
        <w:t>All staff</w:t>
      </w:r>
      <w:r>
        <w:t xml:space="preserve"> are responsible for following the Staff Technology Policy, using approved tools, and reporting anything that looks wrong.</w:t>
      </w:r>
    </w:p>
    <w:p w14:paraId="3B4A3692" w14:textId="77777777" w:rsidR="006D1FFB" w:rsidRDefault="00000000">
      <w:pPr>
        <w:keepNext/>
        <w:spacing w:before="280" w:after="120"/>
      </w:pPr>
      <w:r>
        <w:rPr>
          <w:b/>
          <w:color w:val="F08013"/>
          <w:sz w:val="28"/>
        </w:rPr>
        <w:t>3. Risk management</w:t>
      </w:r>
    </w:p>
    <w:p w14:paraId="291C6312" w14:textId="77777777" w:rsidR="006D1FFB" w:rsidRDefault="00000000">
      <w:pPr>
        <w:spacing w:after="120"/>
      </w:pPr>
      <w:r>
        <w:t>We maintain a simple, current risk register covering information, technology, and people risks. The Security Lead reviews it at least quarterly; the Director reviews it annually or after any material incident.</w:t>
      </w:r>
    </w:p>
    <w:p w14:paraId="41116FD2" w14:textId="77777777" w:rsidR="006D1FFB" w:rsidRDefault="00000000">
      <w:pPr>
        <w:spacing w:after="120"/>
      </w:pPr>
      <w:r>
        <w:t xml:space="preserve">Any risk rated </w:t>
      </w:r>
      <w:r>
        <w:rPr>
          <w:b/>
        </w:rPr>
        <w:t>High</w:t>
      </w:r>
      <w:r>
        <w:t xml:space="preserve"> or above is reported to the Director within five working days of identification, with a proposed mitigation owner and target date. Risks rated </w:t>
      </w:r>
      <w:r>
        <w:rPr>
          <w:b/>
        </w:rPr>
        <w:t>Critical</w:t>
      </w:r>
      <w:r>
        <w:t xml:space="preserve"> are escalated on the day they're identified.</w:t>
      </w:r>
    </w:p>
    <w:p w14:paraId="54FBB3AA" w14:textId="77777777" w:rsidR="006D1FFB" w:rsidRDefault="00000000">
      <w:pPr>
        <w:keepNext/>
        <w:spacing w:before="280" w:after="120"/>
      </w:pPr>
      <w:r>
        <w:rPr>
          <w:b/>
          <w:color w:val="F08013"/>
          <w:sz w:val="28"/>
        </w:rPr>
        <w:t>4. Access control</w:t>
      </w:r>
    </w:p>
    <w:p w14:paraId="57285B92" w14:textId="77777777" w:rsidR="006D1FFB" w:rsidRDefault="00000000">
      <w:pPr>
        <w:spacing w:after="120"/>
      </w:pPr>
      <w:r>
        <w:t>We follow the principle of least privilege: people get the access they need to do their job, and nothing more.</w:t>
      </w:r>
    </w:p>
    <w:p w14:paraId="424DCF93" w14:textId="77777777" w:rsidR="006D1FFB" w:rsidRDefault="00000000">
      <w:pPr>
        <w:spacing w:after="120"/>
      </w:pPr>
      <w:r>
        <w:rPr>
          <w:b/>
        </w:rPr>
        <w:t>Identity and authentication.</w:t>
      </w:r>
      <w:r>
        <w:t xml:space="preserve"> All user accounts sit in our approved identity provider ([CLIENT-SPECIFIC - e.g. Microsoft Entra ID]). Multi-factor authentication is mandatory on every account without exception - staff, admin, service, and third-party.</w:t>
      </w:r>
    </w:p>
    <w:p w14:paraId="3E210495" w14:textId="77777777" w:rsidR="006D1FFB" w:rsidRDefault="00000000">
      <w:pPr>
        <w:spacing w:after="120"/>
      </w:pPr>
      <w:r>
        <w:rPr>
          <w:b/>
        </w:rPr>
        <w:lastRenderedPageBreak/>
        <w:t>Privileged access.</w:t>
      </w:r>
      <w:r>
        <w:t xml:space="preserve"> Administrative accounts are separate from day-to-day accounts, with phishing-resistant multi-factor authentication enforced on every one of them. Privileged access is reviewed quarterly and removed when no longer needed.</w:t>
      </w:r>
    </w:p>
    <w:p w14:paraId="13B99B3A" w14:textId="77777777" w:rsidR="006D1FFB" w:rsidRDefault="00000000">
      <w:pPr>
        <w:spacing w:after="120"/>
      </w:pPr>
      <w:r>
        <w:t>Where our licensing supports it (e.g. Microsoft Entra ID P2), privileged roles are activated just-in-time via Privileged Identity Management (PIM) rather than held as standing assignments.</w:t>
      </w:r>
    </w:p>
    <w:p w14:paraId="5284C467" w14:textId="77777777" w:rsidR="006D1FFB" w:rsidRDefault="00000000">
      <w:pPr>
        <w:spacing w:after="120"/>
      </w:pPr>
      <w:r>
        <w:t>Where just-in-time access is not licensed, a minimum number of named administrators - typically our IT Provider's senior engineers - hold standing privileged access as a documented exception. The following compensating controls apply: separate admin accounts, phishing-resistant MFA, full activity logging, and quarterly review of the named list by the Director.</w:t>
      </w:r>
    </w:p>
    <w:p w14:paraId="4A6F966F" w14:textId="77777777" w:rsidR="006D1FFB" w:rsidRDefault="00000000">
      <w:pPr>
        <w:spacing w:after="120"/>
      </w:pPr>
      <w:r>
        <w:rPr>
          <w:b/>
        </w:rPr>
        <w:t>Joiner, mover, leaver.</w:t>
      </w:r>
      <w:r>
        <w:t xml:space="preserve"> New starters are provisioned from an approved role template before their first day. Role changes trigger a review of access within five working days. When someone leaves, all access is disabled within one hour of their agreed departure and fully removed within seven days.</w:t>
      </w:r>
    </w:p>
    <w:p w14:paraId="35EAF332" w14:textId="77777777" w:rsidR="006D1FFB" w:rsidRDefault="00000000">
      <w:pPr>
        <w:spacing w:after="120"/>
      </w:pPr>
      <w:r>
        <w:rPr>
          <w:b/>
        </w:rPr>
        <w:t>Shared accounts</w:t>
      </w:r>
      <w:r>
        <w:t xml:space="preserve"> are not used. Where a business function genuinely requires a shared login, it is approved in writing by the Director, rotated on use, and logged.</w:t>
      </w:r>
    </w:p>
    <w:p w14:paraId="11809AF6" w14:textId="77777777" w:rsidR="006D1FFB" w:rsidRDefault="00000000">
      <w:pPr>
        <w:spacing w:after="120"/>
      </w:pPr>
      <w:r>
        <w:rPr>
          <w:i/>
        </w:rPr>
        <w:t>(CIS Controls 5, 6)</w:t>
      </w:r>
    </w:p>
    <w:p w14:paraId="0DC58206" w14:textId="77777777" w:rsidR="006D1FFB" w:rsidRDefault="00000000">
      <w:pPr>
        <w:keepNext/>
        <w:spacing w:before="280" w:after="120"/>
      </w:pPr>
      <w:r>
        <w:rPr>
          <w:b/>
          <w:color w:val="F08013"/>
          <w:sz w:val="28"/>
        </w:rPr>
        <w:t>5. Asset and inventory management</w:t>
      </w:r>
    </w:p>
    <w:p w14:paraId="6D19CB90" w14:textId="77777777" w:rsidR="006D1FFB" w:rsidRDefault="00000000">
      <w:pPr>
        <w:spacing w:after="120"/>
      </w:pPr>
      <w:r>
        <w:t>We maintain a current inventory of all enterprise devices (laptops, desktops, servers, mobiles, network equipment) and the software installed on them. The inventory is reviewed at least quarterly by our IT Provider.</w:t>
      </w:r>
    </w:p>
    <w:p w14:paraId="11A333AC" w14:textId="77777777" w:rsidR="006D1FFB" w:rsidRDefault="00000000">
      <w:pPr>
        <w:spacing w:after="120"/>
      </w:pPr>
      <w:r>
        <w:t>Devices are issued to a named owner and tagged. Unknown devices connecting to our network are treated as unauthorised and investigated.</w:t>
      </w:r>
    </w:p>
    <w:p w14:paraId="3D0217BD" w14:textId="77777777" w:rsidR="006D1FFB" w:rsidRDefault="00000000">
      <w:pPr>
        <w:spacing w:after="120"/>
      </w:pPr>
      <w:r>
        <w:t>Software that is end-of-life, unsupported, or no longer in use is removed within 30 days of being flagged.</w:t>
      </w:r>
    </w:p>
    <w:p w14:paraId="145587BA" w14:textId="77777777" w:rsidR="006D1FFB" w:rsidRDefault="00000000">
      <w:pPr>
        <w:spacing w:after="120"/>
      </w:pPr>
      <w:r>
        <w:rPr>
          <w:i/>
        </w:rPr>
        <w:t>(CIS Controls 1, 2)</w:t>
      </w:r>
    </w:p>
    <w:p w14:paraId="3044AAC9" w14:textId="77777777" w:rsidR="006D1FFB" w:rsidRDefault="00000000">
      <w:pPr>
        <w:keepNext/>
        <w:spacing w:before="280" w:after="120"/>
      </w:pPr>
      <w:r>
        <w:rPr>
          <w:b/>
          <w:color w:val="F08013"/>
          <w:sz w:val="28"/>
        </w:rPr>
        <w:t>6. Data protection and privacy</w:t>
      </w:r>
    </w:p>
    <w:p w14:paraId="5558AE0B" w14:textId="77777777" w:rsidR="006D1FFB" w:rsidRDefault="00000000">
      <w:pPr>
        <w:spacing w:after="120"/>
      </w:pPr>
      <w:r>
        <w:rPr>
          <w:b/>
        </w:rPr>
        <w:t>Information sensitivity.</w:t>
      </w:r>
      <w:r>
        <w:t xml:space="preserve"> We recognise four broad categories of information that everyone should understand:</w:t>
      </w:r>
    </w:p>
    <w:p w14:paraId="4619D1B5" w14:textId="77777777" w:rsidR="006D1FFB" w:rsidRDefault="00000000">
      <w:pPr>
        <w:pStyle w:val="ListBullet"/>
        <w:spacing w:after="60"/>
      </w:pPr>
      <w:r>
        <w:rPr>
          <w:b/>
        </w:rPr>
        <w:t>Public</w:t>
      </w:r>
      <w:r>
        <w:t xml:space="preserve"> - already in the public domain; no restriction.</w:t>
      </w:r>
    </w:p>
    <w:p w14:paraId="678EF44D" w14:textId="77777777" w:rsidR="006D1FFB" w:rsidRDefault="00000000">
      <w:pPr>
        <w:pStyle w:val="ListBullet"/>
        <w:spacing w:after="60"/>
      </w:pPr>
      <w:r>
        <w:rPr>
          <w:b/>
        </w:rPr>
        <w:t>Internal</w:t>
      </w:r>
      <w:r>
        <w:t xml:space="preserve"> - for staff use; not for external release.</w:t>
      </w:r>
    </w:p>
    <w:p w14:paraId="723F2F39" w14:textId="77777777" w:rsidR="006D1FFB" w:rsidRDefault="00000000">
      <w:pPr>
        <w:pStyle w:val="ListBullet"/>
        <w:spacing w:after="60"/>
      </w:pPr>
      <w:r>
        <w:rPr>
          <w:b/>
        </w:rPr>
        <w:t>Confidential</w:t>
      </w:r>
      <w:r>
        <w:t xml:space="preserve"> - customer, commercial, financial, or HR information; restricted to those with a legitimate need.</w:t>
      </w:r>
    </w:p>
    <w:p w14:paraId="7D038435" w14:textId="77777777" w:rsidR="006D1FFB" w:rsidRDefault="00000000">
      <w:pPr>
        <w:pStyle w:val="ListBullet"/>
        <w:spacing w:after="60"/>
      </w:pPr>
      <w:r>
        <w:rPr>
          <w:b/>
        </w:rPr>
        <w:t>Restricted</w:t>
      </w:r>
      <w:r>
        <w:t xml:space="preserve"> - information whose loss would cause serious harm (health records, authentication secrets, legal privilege); access strictly limited.</w:t>
      </w:r>
    </w:p>
    <w:p w14:paraId="0AF3D1AE" w14:textId="77777777" w:rsidR="006D1FFB" w:rsidRDefault="00000000">
      <w:pPr>
        <w:spacing w:after="120"/>
      </w:pPr>
      <w:r>
        <w:t xml:space="preserve">Where we have deployed information protection tooling (e.g. Microsoft Purview sensitivity labels), these categories are applied as formal labels with automated controls. Where such tooling is not yet in place, the categories still apply as a shared understanding - staff are expected to treat information according to its </w:t>
      </w:r>
      <w:r>
        <w:lastRenderedPageBreak/>
        <w:t>sensitivity, and the systems holding Confidential or Restricted information are configured with proportionate access controls.</w:t>
      </w:r>
    </w:p>
    <w:p w14:paraId="46BFAD65" w14:textId="77777777" w:rsidR="006D1FFB" w:rsidRDefault="00000000">
      <w:pPr>
        <w:spacing w:after="120"/>
      </w:pPr>
      <w:r>
        <w:rPr>
          <w:b/>
        </w:rPr>
        <w:t>Encryption.</w:t>
      </w:r>
      <w:r>
        <w:t xml:space="preserve"> All data is encrypted in transit using current TLS. All company devices and cloud storage locations enforce encryption at rest.</w:t>
      </w:r>
    </w:p>
    <w:p w14:paraId="426BC379" w14:textId="77777777" w:rsidR="006D1FFB" w:rsidRDefault="00000000">
      <w:pPr>
        <w:spacing w:after="120"/>
      </w:pPr>
      <w:r>
        <w:rPr>
          <w:b/>
        </w:rPr>
        <w:t>Retention and disposal.</w:t>
      </w:r>
      <w:r>
        <w:t xml:space="preserve"> Personal information is kept only for as long as it's needed for the purpose it was collected, in line with </w:t>
      </w:r>
      <w:r>
        <w:rPr>
          <w:b/>
        </w:rPr>
        <w:t>Privacy Act 2020, Information Privacy Principle 9</w:t>
      </w:r>
      <w:r>
        <w:t>. When no longer needed, it is deleted or securely destroyed. Devices are sanitised to recognised standards before disposal or reassignment.</w:t>
      </w:r>
    </w:p>
    <w:p w14:paraId="3B36D33F" w14:textId="77777777" w:rsidR="006D1FFB" w:rsidRDefault="00000000">
      <w:pPr>
        <w:spacing w:after="120"/>
      </w:pPr>
      <w:r>
        <w:rPr>
          <w:b/>
        </w:rPr>
        <w:t>Privacy Act 2020 alignment.</w:t>
      </w:r>
      <w:r>
        <w:t xml:space="preserve"> We apply all 13 Information Privacy Principles (see Appendix B) to personal information we collect, store, use, or share. Requests from individuals to access or correct their information are acknowledged within five working days and actioned within 20 working days.</w:t>
      </w:r>
    </w:p>
    <w:p w14:paraId="4152ED01" w14:textId="77777777" w:rsidR="006D1FFB" w:rsidRDefault="00000000">
      <w:pPr>
        <w:spacing w:after="120"/>
      </w:pPr>
      <w:r>
        <w:rPr>
          <w:i/>
        </w:rPr>
        <w:t>(CIS Control 3; NZ Privacy Act 2020)</w:t>
      </w:r>
    </w:p>
    <w:p w14:paraId="255B2664" w14:textId="77777777" w:rsidR="006D1FFB" w:rsidRDefault="00000000">
      <w:pPr>
        <w:keepNext/>
        <w:spacing w:before="280" w:after="120"/>
      </w:pPr>
      <w:r>
        <w:rPr>
          <w:b/>
          <w:color w:val="F08013"/>
          <w:sz w:val="28"/>
        </w:rPr>
        <w:t>7. Endpoint and network security</w:t>
      </w:r>
    </w:p>
    <w:p w14:paraId="34DC9ACD" w14:textId="77777777" w:rsidR="006D1FFB" w:rsidRDefault="00000000">
      <w:pPr>
        <w:spacing w:after="120"/>
      </w:pPr>
      <w:r>
        <w:rPr>
          <w:b/>
        </w:rPr>
        <w:t>Patching.</w:t>
      </w:r>
      <w:r>
        <w:t xml:space="preserve"> Operating system and application security patches are applied on the following timetable:</w:t>
      </w:r>
    </w:p>
    <w:p w14:paraId="0E2B8776" w14:textId="77777777" w:rsidR="006D1FFB" w:rsidRDefault="00000000">
      <w:pPr>
        <w:pStyle w:val="ListBullet"/>
        <w:spacing w:after="60"/>
      </w:pPr>
      <w:r>
        <w:t>Critical severity: within 48 hours</w:t>
      </w:r>
    </w:p>
    <w:p w14:paraId="36F87D4E" w14:textId="77777777" w:rsidR="006D1FFB" w:rsidRDefault="00000000">
      <w:pPr>
        <w:pStyle w:val="ListBullet"/>
        <w:spacing w:after="60"/>
      </w:pPr>
      <w:r>
        <w:t>High severity: within seven days</w:t>
      </w:r>
    </w:p>
    <w:p w14:paraId="75EBDF17" w14:textId="77777777" w:rsidR="006D1FFB" w:rsidRDefault="00000000">
      <w:pPr>
        <w:pStyle w:val="ListBullet"/>
        <w:spacing w:after="60"/>
      </w:pPr>
      <w:r>
        <w:t>Medium / Low: within 30 days</w:t>
      </w:r>
    </w:p>
    <w:p w14:paraId="74DA79AD" w14:textId="77777777" w:rsidR="006D1FFB" w:rsidRDefault="00000000">
      <w:pPr>
        <w:spacing w:after="120"/>
      </w:pPr>
      <w:r>
        <w:rPr>
          <w:b/>
        </w:rPr>
        <w:t>Endpoint protection.</w:t>
      </w:r>
      <w:r>
        <w:t xml:space="preserve"> Every company device runs approved endpoint detection and response ([CLIENT-SPECIFIC - e.g. Microsoft Defender for Business]). Alerts are monitored by our IT Provider and reviewed weekly.</w:t>
      </w:r>
    </w:p>
    <w:p w14:paraId="7C7AD9A8" w14:textId="77777777" w:rsidR="006D1FFB" w:rsidRDefault="00000000">
      <w:pPr>
        <w:spacing w:after="120"/>
      </w:pPr>
      <w:r>
        <w:rPr>
          <w:b/>
        </w:rPr>
        <w:t>Secure configuration.</w:t>
      </w:r>
      <w:r>
        <w:t xml:space="preserve"> Devices are deployed from a hardened baseline aligned to vendor guidance (e.g. Microsoft security baselines, CIS Benchmarks). Local administrator rights are not granted to standard users.</w:t>
      </w:r>
    </w:p>
    <w:p w14:paraId="0FFCECF5" w14:textId="77777777" w:rsidR="006D1FFB" w:rsidRDefault="00000000">
      <w:pPr>
        <w:spacing w:after="120"/>
      </w:pPr>
      <w:r>
        <w:rPr>
          <w:b/>
        </w:rPr>
        <w:t>Identity-based access (assume breach).</w:t>
      </w:r>
      <w:r>
        <w:t xml:space="preserve"> We treat every network as untrusted, including our own office wifi. A device or user connecting from our office is subject to the same controls as one connecting from a home broadband or a café hotspot: identity verified, device compliance checked, and access granted per session by conditional access policies.</w:t>
      </w:r>
    </w:p>
    <w:p w14:paraId="751B2E45" w14:textId="77777777" w:rsidR="006D1FFB" w:rsidRDefault="00000000">
      <w:pPr>
        <w:spacing w:after="120"/>
      </w:pPr>
      <w:r>
        <w:rPr>
          <w:b/>
        </w:rPr>
        <w:t>Conditional access</w:t>
      </w:r>
      <w:r>
        <w:t xml:space="preserve"> is enforced on access to all business data, requiring MFA, a compliant managed device, and an acceptable risk signal. High-risk sign-ins are blocked or challenged automatically.</w:t>
      </w:r>
    </w:p>
    <w:p w14:paraId="2ECB00E8" w14:textId="77777777" w:rsidR="006D1FFB" w:rsidRDefault="00000000">
      <w:pPr>
        <w:spacing w:after="120"/>
      </w:pPr>
      <w:r>
        <w:rPr>
          <w:b/>
        </w:rPr>
        <w:t>Narrow exceptions.</w:t>
      </w:r>
      <w:r>
        <w:t xml:space="preserve"> In limited cases - a kiosk account on a front-of-house device, an on-premises service account, a legacy application that cannot support modern authentication - a specific account may have a conditional access policy that includes the main office static IP as one of its trust signals. Any such exception is scoped to a named account on a named device, paired with compensating controls (restricted scope of access, device hardening, close monitoring), and approved by the Director. The principle is that the overall security of the scoped exception must be at least equivalent to the default posture; we never use network location alone as a substitute for identity and device checks.</w:t>
      </w:r>
    </w:p>
    <w:p w14:paraId="3CEE973A" w14:textId="77777777" w:rsidR="006D1FFB" w:rsidRDefault="00000000">
      <w:pPr>
        <w:spacing w:after="120"/>
      </w:pPr>
      <w:r>
        <w:rPr>
          <w:b/>
        </w:rPr>
        <w:t>Remote administrative access</w:t>
      </w:r>
      <w:r>
        <w:t xml:space="preserve"> to any servers or network equipment we operate is restricted to named users over MFA-protected channels. No direct RDP or SSH is exposed to the public internet.</w:t>
      </w:r>
    </w:p>
    <w:p w14:paraId="282C68D5" w14:textId="77777777" w:rsidR="006D1FFB" w:rsidRDefault="00000000">
      <w:pPr>
        <w:spacing w:after="120"/>
      </w:pPr>
      <w:r>
        <w:lastRenderedPageBreak/>
        <w:t>Where physical networks exist, guest wifi is segregated from any staff network - but we do not rely on network location as a security boundary.</w:t>
      </w:r>
    </w:p>
    <w:p w14:paraId="4ABE8846" w14:textId="77777777" w:rsidR="006D1FFB" w:rsidRDefault="00000000">
      <w:pPr>
        <w:spacing w:after="120"/>
      </w:pPr>
      <w:r>
        <w:rPr>
          <w:i/>
        </w:rPr>
        <w:t>(CIS Controls 4, 7, 10, 12, 13)</w:t>
      </w:r>
    </w:p>
    <w:p w14:paraId="0A7EB78E" w14:textId="77777777" w:rsidR="006D1FFB" w:rsidRDefault="00000000">
      <w:pPr>
        <w:keepNext/>
        <w:spacing w:before="280" w:after="120"/>
      </w:pPr>
      <w:r>
        <w:rPr>
          <w:b/>
          <w:color w:val="F08013"/>
          <w:sz w:val="28"/>
        </w:rPr>
        <w:t>8. Email and web</w:t>
      </w:r>
    </w:p>
    <w:p w14:paraId="3A54790F" w14:textId="77777777" w:rsidR="006D1FFB" w:rsidRDefault="00000000">
      <w:pPr>
        <w:spacing w:after="120"/>
      </w:pPr>
      <w:r>
        <w:t xml:space="preserve">All inbound email passes through approved filtering that inspects attachments and links and applies anti-spoofing checks. We publish and enforce </w:t>
      </w:r>
      <w:r>
        <w:rPr>
          <w:b/>
        </w:rPr>
        <w:t>SPF</w:t>
      </w:r>
      <w:r>
        <w:t xml:space="preserve">, </w:t>
      </w:r>
      <w:r>
        <w:rPr>
          <w:b/>
        </w:rPr>
        <w:t>DKIM</w:t>
      </w:r>
      <w:r>
        <w:t xml:space="preserve">, and </w:t>
      </w:r>
      <w:r>
        <w:rPr>
          <w:b/>
        </w:rPr>
        <w:t>DMARC</w:t>
      </w:r>
      <w:r>
        <w:t xml:space="preserve"> records on every domain we send from, with DMARC set to a reject or quarantine policy.</w:t>
      </w:r>
    </w:p>
    <w:p w14:paraId="55B5104F" w14:textId="77777777" w:rsidR="006D1FFB" w:rsidRDefault="00000000">
      <w:pPr>
        <w:spacing w:after="120"/>
      </w:pPr>
      <w:r>
        <w:t>Web traffic from company devices is protected by approved filtering that blocks known malicious and high-risk destinations. We apply this protection at a layer independent of browser choice (typically DNS filtering and endpoint-based web protection), so staff can use their preferred browser without reducing our coverage.</w:t>
      </w:r>
    </w:p>
    <w:p w14:paraId="1E3F9B11" w14:textId="77777777" w:rsidR="006D1FFB" w:rsidRDefault="00000000">
      <w:pPr>
        <w:spacing w:after="120"/>
      </w:pPr>
      <w:r>
        <w:rPr>
          <w:i/>
        </w:rPr>
        <w:t>(CIS Controls 9, 10)</w:t>
      </w:r>
    </w:p>
    <w:p w14:paraId="092C9207" w14:textId="77777777" w:rsidR="006D1FFB" w:rsidRDefault="00000000">
      <w:pPr>
        <w:keepNext/>
        <w:spacing w:before="280" w:after="120"/>
      </w:pPr>
      <w:r>
        <w:rPr>
          <w:b/>
          <w:color w:val="F08013"/>
          <w:sz w:val="28"/>
        </w:rPr>
        <w:t>9. Backup and recovery</w:t>
      </w:r>
    </w:p>
    <w:p w14:paraId="0DEAC886" w14:textId="77777777" w:rsidR="006D1FFB" w:rsidRDefault="00000000">
      <w:pPr>
        <w:spacing w:after="120"/>
      </w:pPr>
      <w:r>
        <w:t xml:space="preserve">We follow the </w:t>
      </w:r>
      <w:r>
        <w:rPr>
          <w:b/>
        </w:rPr>
        <w:t>3-2-1 principle</w:t>
      </w:r>
      <w:r>
        <w:t>: three copies of important data, on two different media, with one copy held separately and protected against tampering (immutable or air-gapped).</w:t>
      </w:r>
    </w:p>
    <w:p w14:paraId="031B7614" w14:textId="77777777" w:rsidR="006D1FFB" w:rsidRDefault="00000000">
      <w:pPr>
        <w:spacing w:after="120"/>
      </w:pPr>
      <w:r>
        <w:rPr>
          <w:b/>
        </w:rPr>
        <w:t>Recovery objectives.</w:t>
      </w:r>
    </w:p>
    <w:p w14:paraId="4F8D95FC" w14:textId="77777777" w:rsidR="006D1FFB" w:rsidRDefault="00000000">
      <w:pPr>
        <w:pStyle w:val="ListBullet"/>
        <w:spacing w:after="60"/>
      </w:pPr>
      <w:r>
        <w:t xml:space="preserve">Recovery Point Objective (RPO): </w:t>
      </w:r>
      <w:r>
        <w:rPr>
          <w:b/>
        </w:rPr>
        <w:t>[CLIENT-SPECIFIC, default 24 hours]</w:t>
      </w:r>
    </w:p>
    <w:p w14:paraId="05BFD1A6" w14:textId="77777777" w:rsidR="006D1FFB" w:rsidRDefault="00000000">
      <w:pPr>
        <w:pStyle w:val="ListBullet"/>
        <w:spacing w:after="60"/>
      </w:pPr>
      <w:r>
        <w:t xml:space="preserve">Recovery Time Objective (RTO): </w:t>
      </w:r>
      <w:r>
        <w:rPr>
          <w:b/>
        </w:rPr>
        <w:t>[CLIENT-SPECIFIC, default 8 working hours]</w:t>
      </w:r>
    </w:p>
    <w:p w14:paraId="2ADA8368" w14:textId="77777777" w:rsidR="006D1FFB" w:rsidRDefault="00000000">
      <w:pPr>
        <w:spacing w:after="120"/>
      </w:pPr>
      <w:r>
        <w:rPr>
          <w:b/>
        </w:rPr>
        <w:t>Testing.</w:t>
      </w:r>
      <w:r>
        <w:t xml:space="preserve"> Restore tests are performed at least quarterly by our IT Provider, with evidence kept for review. At least once a year we run a full scenario test (e.g. ransomware recovery) with documented outcomes.</w:t>
      </w:r>
    </w:p>
    <w:p w14:paraId="1BEFE5CE" w14:textId="77777777" w:rsidR="006D1FFB" w:rsidRDefault="00000000">
      <w:pPr>
        <w:spacing w:after="120"/>
      </w:pPr>
      <w:r>
        <w:rPr>
          <w:i/>
        </w:rPr>
        <w:t>(CIS Control 11)</w:t>
      </w:r>
    </w:p>
    <w:p w14:paraId="5D4FCC14" w14:textId="77777777" w:rsidR="006D1FFB" w:rsidRDefault="00000000">
      <w:pPr>
        <w:keepNext/>
        <w:spacing w:before="280" w:after="120"/>
      </w:pPr>
      <w:r>
        <w:rPr>
          <w:b/>
          <w:color w:val="F08013"/>
          <w:sz w:val="28"/>
        </w:rPr>
        <w:t>10. Vendor and third-party management</w:t>
      </w:r>
    </w:p>
    <w:p w14:paraId="5954F69A" w14:textId="77777777" w:rsidR="006D1FFB" w:rsidRDefault="00000000">
      <w:pPr>
        <w:spacing w:after="120"/>
      </w:pPr>
      <w:r>
        <w:t>Before we engage a new supplier that will handle our data or access our systems, we conduct proportionate due diligence: security posture, relevant certifications (e.g. ISO 27001, SOC 2), data residency, and privacy commitments.</w:t>
      </w:r>
    </w:p>
    <w:p w14:paraId="2B855BE5" w14:textId="77777777" w:rsidR="006D1FFB" w:rsidRDefault="00000000">
      <w:pPr>
        <w:spacing w:after="120"/>
      </w:pPr>
      <w:r>
        <w:t>Where a supplier processes personal information on our behalf, a written agreement is in place covering permitted use, security requirements, breach notification timelines, sub-processor disclosure, and data return or destruction on exit.</w:t>
      </w:r>
    </w:p>
    <w:p w14:paraId="362333E3" w14:textId="77777777" w:rsidR="006D1FFB" w:rsidRDefault="00000000">
      <w:pPr>
        <w:spacing w:after="120"/>
      </w:pPr>
      <w:r>
        <w:t>Critical suppliers are reviewed annually. Changes of control, jurisdiction, or material security incidents at a supplier trigger an out-of-cycle review.</w:t>
      </w:r>
    </w:p>
    <w:p w14:paraId="7F8A612E" w14:textId="77777777" w:rsidR="006D1FFB" w:rsidRDefault="00000000">
      <w:pPr>
        <w:spacing w:after="120"/>
      </w:pPr>
      <w:r>
        <w:rPr>
          <w:i/>
        </w:rPr>
        <w:t>(CIS Control 15)</w:t>
      </w:r>
    </w:p>
    <w:p w14:paraId="7ABF1A1E" w14:textId="77777777" w:rsidR="006D1FFB" w:rsidRDefault="00000000">
      <w:pPr>
        <w:keepNext/>
        <w:spacing w:before="280" w:after="120"/>
      </w:pPr>
      <w:r>
        <w:rPr>
          <w:b/>
          <w:color w:val="F08013"/>
          <w:sz w:val="28"/>
        </w:rPr>
        <w:lastRenderedPageBreak/>
        <w:t>11. Incident response</w:t>
      </w:r>
    </w:p>
    <w:p w14:paraId="1059ED35" w14:textId="77777777" w:rsidR="006D1FFB" w:rsidRDefault="00000000">
      <w:pPr>
        <w:spacing w:after="120"/>
      </w:pPr>
      <w:r>
        <w:t xml:space="preserve">We treat every suspected security or privacy incident seriously, regardless of source. Our approach has four stages: </w:t>
      </w:r>
      <w:r>
        <w:rPr>
          <w:b/>
        </w:rPr>
        <w:t>detect, contain, notify, review.</w:t>
      </w:r>
    </w:p>
    <w:p w14:paraId="64EDCAEA" w14:textId="77777777" w:rsidR="006D1FFB" w:rsidRDefault="00000000">
      <w:pPr>
        <w:spacing w:after="120"/>
      </w:pPr>
      <w:r>
        <w:rPr>
          <w:b/>
        </w:rPr>
        <w:t>Detect.</w:t>
      </w:r>
      <w:r>
        <w:t xml:space="preserve"> Staff report suspected incidents to the Security Lead (see Appendix C) immediately. Technical alerts from our IT Provider are triaged within one hour during business hours and four hours outside business hours.</w:t>
      </w:r>
    </w:p>
    <w:p w14:paraId="118E69D9" w14:textId="77777777" w:rsidR="006D1FFB" w:rsidRDefault="00000000">
      <w:pPr>
        <w:spacing w:after="120"/>
      </w:pPr>
      <w:r>
        <w:rPr>
          <w:b/>
        </w:rPr>
        <w:t>Contain.</w:t>
      </w:r>
      <w:r>
        <w:t xml:space="preserve"> The Security Lead, working with our IT Provider, takes immediate action to limit the scope: isolating affected accounts or devices, revoking sessions, and preserving evidence.</w:t>
      </w:r>
    </w:p>
    <w:p w14:paraId="1F7F6075" w14:textId="77777777" w:rsidR="006D1FFB" w:rsidRDefault="00000000">
      <w:pPr>
        <w:spacing w:after="120"/>
      </w:pPr>
      <w:r>
        <w:rPr>
          <w:b/>
        </w:rPr>
        <w:t>Notify.</w:t>
      </w:r>
      <w:r>
        <w:t xml:space="preserve"> Where an incident involves personal information and is likely to cause </w:t>
      </w:r>
      <w:r>
        <w:rPr>
          <w:b/>
        </w:rPr>
        <w:t>serious harm</w:t>
      </w:r>
      <w:r>
        <w:t xml:space="preserve"> to any individual, we treat it as a </w:t>
      </w:r>
      <w:r>
        <w:rPr>
          <w:b/>
        </w:rPr>
        <w:t>notifiable privacy breach</w:t>
      </w:r>
      <w:r>
        <w:t xml:space="preserve"> under the Privacy Act 2020. We notify the </w:t>
      </w:r>
      <w:r>
        <w:rPr>
          <w:b/>
        </w:rPr>
        <w:t>Office of the Privacy Commissioner</w:t>
      </w:r>
      <w:r>
        <w:t xml:space="preserve"> and affected individuals </w:t>
      </w:r>
      <w:r>
        <w:rPr>
          <w:b/>
        </w:rPr>
        <w:t>as soon as practicable</w:t>
      </w:r>
      <w:r>
        <w:t xml:space="preserve"> and no later than </w:t>
      </w:r>
      <w:r>
        <w:rPr>
          <w:b/>
        </w:rPr>
        <w:t>72 hours</w:t>
      </w:r>
      <w:r>
        <w:t xml:space="preserve"> after we become aware of the breach, unless a longer timeframe is reasonable in the circumstances. Failure to notify without reasonable excuse is an offence under section 118 of the Privacy Act 2020.</w:t>
      </w:r>
    </w:p>
    <w:p w14:paraId="74A42BF0" w14:textId="77777777" w:rsidR="006D1FFB" w:rsidRDefault="00000000">
      <w:pPr>
        <w:spacing w:after="120"/>
      </w:pPr>
      <w:r>
        <w:t>For other incident types, we notify customers, insurers, and regulators in line with contractual and legal obligations.</w:t>
      </w:r>
    </w:p>
    <w:p w14:paraId="5936824F" w14:textId="77777777" w:rsidR="006D1FFB" w:rsidRDefault="00000000">
      <w:pPr>
        <w:spacing w:after="120"/>
      </w:pPr>
      <w:r>
        <w:rPr>
          <w:b/>
        </w:rPr>
        <w:t>Review.</w:t>
      </w:r>
      <w:r>
        <w:t xml:space="preserve"> Every incident rated Medium or above gets a written post-incident review within 10 working days, covering what happened, what we did, what worked, and what changes we're making. Findings feed the risk register.</w:t>
      </w:r>
    </w:p>
    <w:p w14:paraId="1B31EEBD" w14:textId="77777777" w:rsidR="006D1FFB" w:rsidRDefault="00000000">
      <w:pPr>
        <w:spacing w:after="120"/>
      </w:pPr>
      <w:r>
        <w:rPr>
          <w:i/>
        </w:rPr>
        <w:t>(CIS Control 17; NZ Privacy Act 2020, ss.114, 117, 118)</w:t>
      </w:r>
    </w:p>
    <w:p w14:paraId="65A07A8F" w14:textId="77777777" w:rsidR="006D1FFB" w:rsidRDefault="00000000">
      <w:pPr>
        <w:keepNext/>
        <w:spacing w:before="280" w:after="120"/>
      </w:pPr>
      <w:r>
        <w:rPr>
          <w:b/>
          <w:color w:val="F08013"/>
          <w:sz w:val="28"/>
        </w:rPr>
        <w:t>12. Training and awareness</w:t>
      </w:r>
    </w:p>
    <w:p w14:paraId="588ABF1A" w14:textId="77777777" w:rsidR="006D1FFB" w:rsidRDefault="00000000">
      <w:pPr>
        <w:spacing w:after="120"/>
      </w:pPr>
      <w:r>
        <w:t xml:space="preserve">Every staff member reads and signs the </w:t>
      </w:r>
      <w:r>
        <w:rPr>
          <w:b/>
        </w:rPr>
        <w:t>Staff Technology Policy</w:t>
      </w:r>
      <w:r>
        <w:t xml:space="preserve"> on joining </w:t>
      </w:r>
      <w:r>
        <w:rPr>
          <w:b/>
        </w:rPr>
        <w:t>[CLIENT NAME]</w:t>
      </w:r>
      <w:r>
        <w:t>. Refresher awareness is provided at least annually.</w:t>
      </w:r>
    </w:p>
    <w:p w14:paraId="5DD22BA6" w14:textId="77777777" w:rsidR="006D1FFB" w:rsidRDefault="00000000">
      <w:pPr>
        <w:spacing w:after="120"/>
      </w:pPr>
      <w:r>
        <w:t>Where subscribed, simulated phishing exercises are run at least quarterly. Results are used to focus training, not to identify or punish individuals.</w:t>
      </w:r>
    </w:p>
    <w:p w14:paraId="62E16C06" w14:textId="77777777" w:rsidR="006D1FFB" w:rsidRDefault="00000000">
      <w:pPr>
        <w:spacing w:after="120"/>
      </w:pPr>
      <w:r>
        <w:t>New or significant changes to the threat landscape (major vulnerabilities, scam campaigns targeting our sector) are communicated to staff within five working days of identification.</w:t>
      </w:r>
    </w:p>
    <w:p w14:paraId="7CFA1185" w14:textId="77777777" w:rsidR="006D1FFB" w:rsidRDefault="00000000">
      <w:pPr>
        <w:spacing w:after="120"/>
      </w:pPr>
      <w:r>
        <w:rPr>
          <w:i/>
        </w:rPr>
        <w:t>(CIS Control 14)</w:t>
      </w:r>
    </w:p>
    <w:p w14:paraId="207F1860" w14:textId="77777777" w:rsidR="006D1FFB" w:rsidRDefault="00000000">
      <w:pPr>
        <w:keepNext/>
        <w:spacing w:before="280" w:after="120"/>
      </w:pPr>
      <w:r>
        <w:rPr>
          <w:b/>
          <w:color w:val="F08013"/>
          <w:sz w:val="28"/>
        </w:rPr>
        <w:t>13. Review and change control</w:t>
      </w:r>
    </w:p>
    <w:p w14:paraId="46D6D47F" w14:textId="77777777" w:rsidR="006D1FFB" w:rsidRDefault="00000000">
      <w:pPr>
        <w:spacing w:after="120"/>
      </w:pPr>
      <w:r>
        <w:t>This policy is reviewed at least annually by the Director, and whenever there is a material change to our business, technology, or regulatory environment.</w:t>
      </w:r>
    </w:p>
    <w:p w14:paraId="3AA2D9C3" w14:textId="77777777" w:rsidR="006D1FFB" w:rsidRDefault="00000000">
      <w:pPr>
        <w:spacing w:after="120"/>
      </w:pPr>
      <w:r>
        <w:t>Changes are drafted by the Security Lead, reviewed by the IT Provider, and approved by the Director. Each approved version supersedes all previous versions. A version history is maintained at the end of this document.</w:t>
      </w:r>
    </w:p>
    <w:p w14:paraId="1488EE93" w14:textId="77777777" w:rsidR="006D1FFB" w:rsidRDefault="00000000">
      <w:pPr>
        <w:keepNext/>
        <w:spacing w:before="280" w:after="120"/>
      </w:pPr>
      <w:r>
        <w:rPr>
          <w:b/>
          <w:color w:val="F08013"/>
          <w:sz w:val="28"/>
        </w:rPr>
        <w:lastRenderedPageBreak/>
        <w:t>14. Policy ownership and contact</w:t>
      </w:r>
    </w:p>
    <w:p w14:paraId="643543FC" w14:textId="77777777" w:rsidR="006D1FFB" w:rsidRDefault="00000000">
      <w:pPr>
        <w:spacing w:after="120"/>
      </w:pPr>
      <w:r>
        <w:rPr>
          <w:b/>
        </w:rPr>
        <w:t>Policy Owner:</w:t>
      </w:r>
      <w:r>
        <w:t xml:space="preserve"> Director, [CLIENT NAME] </w:t>
      </w:r>
      <w:r>
        <w:rPr>
          <w:b/>
        </w:rPr>
        <w:t>Day-to-day Contact:</w:t>
      </w:r>
      <w:r>
        <w:t xml:space="preserve"> Security Lead (see Appendix C) </w:t>
      </w:r>
      <w:r>
        <w:rPr>
          <w:b/>
        </w:rPr>
        <w:t>Effective Date:</w:t>
      </w:r>
      <w:r>
        <w:t xml:space="preserve"> [DATE] </w:t>
      </w:r>
      <w:r>
        <w:rPr>
          <w:b/>
        </w:rPr>
        <w:t>Next Scheduled Review:</w:t>
      </w:r>
      <w:r>
        <w:t xml:space="preserve"> [DATE + 12 months]</w:t>
      </w:r>
    </w:p>
    <w:p w14:paraId="6A7DF86E" w14:textId="77777777" w:rsidR="006D1FFB" w:rsidRDefault="006D1FFB">
      <w:pPr>
        <w:pBdr>
          <w:bottom w:val="single" w:sz="6" w:space="1" w:color="F08013"/>
        </w:pBdr>
      </w:pPr>
    </w:p>
    <w:p w14:paraId="7DB084A6" w14:textId="77777777" w:rsidR="006D1FFB" w:rsidRDefault="00000000">
      <w:pPr>
        <w:keepNext/>
        <w:spacing w:before="280" w:after="120"/>
      </w:pPr>
      <w:r>
        <w:rPr>
          <w:b/>
          <w:color w:val="F08013"/>
          <w:sz w:val="28"/>
        </w:rPr>
        <w:t>Appendix A - CIS Critical Security Controls v8.1 mapping</w:t>
      </w:r>
    </w:p>
    <w:tbl>
      <w:tblPr>
        <w:tblStyle w:val="TableGrid"/>
        <w:tblW w:w="0" w:type="auto"/>
        <w:tblLook w:val="04A0" w:firstRow="1" w:lastRow="0" w:firstColumn="1" w:lastColumn="0" w:noHBand="0" w:noVBand="1"/>
      </w:tblPr>
      <w:tblGrid>
        <w:gridCol w:w="3244"/>
        <w:gridCol w:w="3246"/>
        <w:gridCol w:w="3246"/>
      </w:tblGrid>
      <w:tr w:rsidR="006D1FFB" w14:paraId="65954F5D" w14:textId="77777777">
        <w:tc>
          <w:tcPr>
            <w:tcW w:w="3249" w:type="dxa"/>
            <w:shd w:val="clear" w:color="auto" w:fill="F08013"/>
            <w:vAlign w:val="center"/>
          </w:tcPr>
          <w:p w14:paraId="77DDDBB2" w14:textId="77777777" w:rsidR="006D1FFB" w:rsidRDefault="00000000">
            <w:r>
              <w:rPr>
                <w:b/>
                <w:color w:val="FFFFFF"/>
                <w:sz w:val="20"/>
              </w:rPr>
              <w:t>CIS Control</w:t>
            </w:r>
          </w:p>
        </w:tc>
        <w:tc>
          <w:tcPr>
            <w:tcW w:w="3249" w:type="dxa"/>
            <w:shd w:val="clear" w:color="auto" w:fill="F08013"/>
            <w:vAlign w:val="center"/>
          </w:tcPr>
          <w:p w14:paraId="15424490" w14:textId="77777777" w:rsidR="006D1FFB" w:rsidRDefault="00000000">
            <w:r>
              <w:rPr>
                <w:b/>
                <w:color w:val="FFFFFF"/>
                <w:sz w:val="20"/>
              </w:rPr>
              <w:t>Title</w:t>
            </w:r>
          </w:p>
        </w:tc>
        <w:tc>
          <w:tcPr>
            <w:tcW w:w="3249" w:type="dxa"/>
            <w:shd w:val="clear" w:color="auto" w:fill="F08013"/>
            <w:vAlign w:val="center"/>
          </w:tcPr>
          <w:p w14:paraId="2A4CF665" w14:textId="77777777" w:rsidR="006D1FFB" w:rsidRDefault="00000000">
            <w:r>
              <w:rPr>
                <w:b/>
                <w:color w:val="FFFFFF"/>
                <w:sz w:val="20"/>
              </w:rPr>
              <w:t>Covered in section</w:t>
            </w:r>
          </w:p>
        </w:tc>
      </w:tr>
      <w:tr w:rsidR="006D1FFB" w14:paraId="201295C0" w14:textId="77777777">
        <w:tc>
          <w:tcPr>
            <w:tcW w:w="3249" w:type="dxa"/>
          </w:tcPr>
          <w:p w14:paraId="2C129859" w14:textId="77777777" w:rsidR="006D1FFB" w:rsidRDefault="00000000">
            <w:r>
              <w:rPr>
                <w:sz w:val="20"/>
              </w:rPr>
              <w:t>1</w:t>
            </w:r>
          </w:p>
        </w:tc>
        <w:tc>
          <w:tcPr>
            <w:tcW w:w="3249" w:type="dxa"/>
          </w:tcPr>
          <w:p w14:paraId="606B67F2" w14:textId="77777777" w:rsidR="006D1FFB" w:rsidRDefault="00000000">
            <w:r>
              <w:rPr>
                <w:sz w:val="20"/>
              </w:rPr>
              <w:t>Inventory and Control of Enterprise Assets</w:t>
            </w:r>
          </w:p>
        </w:tc>
        <w:tc>
          <w:tcPr>
            <w:tcW w:w="3249" w:type="dxa"/>
          </w:tcPr>
          <w:p w14:paraId="137F920C" w14:textId="77777777" w:rsidR="006D1FFB" w:rsidRDefault="00000000">
            <w:r>
              <w:rPr>
                <w:sz w:val="20"/>
              </w:rPr>
              <w:t>5</w:t>
            </w:r>
          </w:p>
        </w:tc>
      </w:tr>
      <w:tr w:rsidR="006D1FFB" w14:paraId="1891B415" w14:textId="77777777">
        <w:tc>
          <w:tcPr>
            <w:tcW w:w="3249" w:type="dxa"/>
            <w:shd w:val="clear" w:color="auto" w:fill="E6E6E6"/>
          </w:tcPr>
          <w:p w14:paraId="0407B3DB" w14:textId="77777777" w:rsidR="006D1FFB" w:rsidRDefault="00000000">
            <w:r>
              <w:rPr>
                <w:sz w:val="20"/>
              </w:rPr>
              <w:t>2</w:t>
            </w:r>
          </w:p>
        </w:tc>
        <w:tc>
          <w:tcPr>
            <w:tcW w:w="3249" w:type="dxa"/>
            <w:shd w:val="clear" w:color="auto" w:fill="E6E6E6"/>
          </w:tcPr>
          <w:p w14:paraId="368B8883" w14:textId="77777777" w:rsidR="006D1FFB" w:rsidRDefault="00000000">
            <w:r>
              <w:rPr>
                <w:sz w:val="20"/>
              </w:rPr>
              <w:t>Inventory and Control of Software Assets</w:t>
            </w:r>
          </w:p>
        </w:tc>
        <w:tc>
          <w:tcPr>
            <w:tcW w:w="3249" w:type="dxa"/>
            <w:shd w:val="clear" w:color="auto" w:fill="E6E6E6"/>
          </w:tcPr>
          <w:p w14:paraId="2200ED06" w14:textId="77777777" w:rsidR="006D1FFB" w:rsidRDefault="00000000">
            <w:r>
              <w:rPr>
                <w:sz w:val="20"/>
              </w:rPr>
              <w:t>5</w:t>
            </w:r>
          </w:p>
        </w:tc>
      </w:tr>
      <w:tr w:rsidR="006D1FFB" w14:paraId="3518BDF1" w14:textId="77777777">
        <w:tc>
          <w:tcPr>
            <w:tcW w:w="3249" w:type="dxa"/>
          </w:tcPr>
          <w:p w14:paraId="28B6463F" w14:textId="77777777" w:rsidR="006D1FFB" w:rsidRDefault="00000000">
            <w:r>
              <w:rPr>
                <w:sz w:val="20"/>
              </w:rPr>
              <w:t>3</w:t>
            </w:r>
          </w:p>
        </w:tc>
        <w:tc>
          <w:tcPr>
            <w:tcW w:w="3249" w:type="dxa"/>
          </w:tcPr>
          <w:p w14:paraId="73B1B6B3" w14:textId="77777777" w:rsidR="006D1FFB" w:rsidRDefault="00000000">
            <w:r>
              <w:rPr>
                <w:sz w:val="20"/>
              </w:rPr>
              <w:t>Data Protection</w:t>
            </w:r>
          </w:p>
        </w:tc>
        <w:tc>
          <w:tcPr>
            <w:tcW w:w="3249" w:type="dxa"/>
          </w:tcPr>
          <w:p w14:paraId="03BAECBD" w14:textId="77777777" w:rsidR="006D1FFB" w:rsidRDefault="00000000">
            <w:r>
              <w:rPr>
                <w:sz w:val="20"/>
              </w:rPr>
              <w:t>6</w:t>
            </w:r>
          </w:p>
        </w:tc>
      </w:tr>
      <w:tr w:rsidR="006D1FFB" w14:paraId="1A57C59C" w14:textId="77777777">
        <w:tc>
          <w:tcPr>
            <w:tcW w:w="3249" w:type="dxa"/>
            <w:shd w:val="clear" w:color="auto" w:fill="E6E6E6"/>
          </w:tcPr>
          <w:p w14:paraId="113B91A2" w14:textId="77777777" w:rsidR="006D1FFB" w:rsidRDefault="00000000">
            <w:r>
              <w:rPr>
                <w:sz w:val="20"/>
              </w:rPr>
              <w:t>4</w:t>
            </w:r>
          </w:p>
        </w:tc>
        <w:tc>
          <w:tcPr>
            <w:tcW w:w="3249" w:type="dxa"/>
            <w:shd w:val="clear" w:color="auto" w:fill="E6E6E6"/>
          </w:tcPr>
          <w:p w14:paraId="354EA77A" w14:textId="77777777" w:rsidR="006D1FFB" w:rsidRDefault="00000000">
            <w:r>
              <w:rPr>
                <w:sz w:val="20"/>
              </w:rPr>
              <w:t>Secure Configuration of Enterprise Assets and Software</w:t>
            </w:r>
          </w:p>
        </w:tc>
        <w:tc>
          <w:tcPr>
            <w:tcW w:w="3249" w:type="dxa"/>
            <w:shd w:val="clear" w:color="auto" w:fill="E6E6E6"/>
          </w:tcPr>
          <w:p w14:paraId="257BD2EE" w14:textId="77777777" w:rsidR="006D1FFB" w:rsidRDefault="00000000">
            <w:r>
              <w:rPr>
                <w:sz w:val="20"/>
              </w:rPr>
              <w:t>7</w:t>
            </w:r>
          </w:p>
        </w:tc>
      </w:tr>
      <w:tr w:rsidR="006D1FFB" w14:paraId="1D431FC3" w14:textId="77777777">
        <w:tc>
          <w:tcPr>
            <w:tcW w:w="3249" w:type="dxa"/>
          </w:tcPr>
          <w:p w14:paraId="3444C0A6" w14:textId="77777777" w:rsidR="006D1FFB" w:rsidRDefault="00000000">
            <w:r>
              <w:rPr>
                <w:sz w:val="20"/>
              </w:rPr>
              <w:t>5</w:t>
            </w:r>
          </w:p>
        </w:tc>
        <w:tc>
          <w:tcPr>
            <w:tcW w:w="3249" w:type="dxa"/>
          </w:tcPr>
          <w:p w14:paraId="4C9F6503" w14:textId="77777777" w:rsidR="006D1FFB" w:rsidRDefault="00000000">
            <w:r>
              <w:rPr>
                <w:sz w:val="20"/>
              </w:rPr>
              <w:t>Account Management</w:t>
            </w:r>
          </w:p>
        </w:tc>
        <w:tc>
          <w:tcPr>
            <w:tcW w:w="3249" w:type="dxa"/>
          </w:tcPr>
          <w:p w14:paraId="19F31396" w14:textId="77777777" w:rsidR="006D1FFB" w:rsidRDefault="00000000">
            <w:r>
              <w:rPr>
                <w:sz w:val="20"/>
              </w:rPr>
              <w:t>4</w:t>
            </w:r>
          </w:p>
        </w:tc>
      </w:tr>
      <w:tr w:rsidR="006D1FFB" w14:paraId="17015A4E" w14:textId="77777777">
        <w:tc>
          <w:tcPr>
            <w:tcW w:w="3249" w:type="dxa"/>
            <w:shd w:val="clear" w:color="auto" w:fill="E6E6E6"/>
          </w:tcPr>
          <w:p w14:paraId="33262D25" w14:textId="77777777" w:rsidR="006D1FFB" w:rsidRDefault="00000000">
            <w:r>
              <w:rPr>
                <w:sz w:val="20"/>
              </w:rPr>
              <w:t>6</w:t>
            </w:r>
          </w:p>
        </w:tc>
        <w:tc>
          <w:tcPr>
            <w:tcW w:w="3249" w:type="dxa"/>
            <w:shd w:val="clear" w:color="auto" w:fill="E6E6E6"/>
          </w:tcPr>
          <w:p w14:paraId="5A9EABD9" w14:textId="77777777" w:rsidR="006D1FFB" w:rsidRDefault="00000000">
            <w:r>
              <w:rPr>
                <w:sz w:val="20"/>
              </w:rPr>
              <w:t>Access Control Management</w:t>
            </w:r>
          </w:p>
        </w:tc>
        <w:tc>
          <w:tcPr>
            <w:tcW w:w="3249" w:type="dxa"/>
            <w:shd w:val="clear" w:color="auto" w:fill="E6E6E6"/>
          </w:tcPr>
          <w:p w14:paraId="143381A5" w14:textId="77777777" w:rsidR="006D1FFB" w:rsidRDefault="00000000">
            <w:r>
              <w:rPr>
                <w:sz w:val="20"/>
              </w:rPr>
              <w:t>4</w:t>
            </w:r>
          </w:p>
        </w:tc>
      </w:tr>
      <w:tr w:rsidR="006D1FFB" w14:paraId="75657747" w14:textId="77777777">
        <w:tc>
          <w:tcPr>
            <w:tcW w:w="3249" w:type="dxa"/>
          </w:tcPr>
          <w:p w14:paraId="29F22121" w14:textId="77777777" w:rsidR="006D1FFB" w:rsidRDefault="00000000">
            <w:r>
              <w:rPr>
                <w:sz w:val="20"/>
              </w:rPr>
              <w:t>7</w:t>
            </w:r>
          </w:p>
        </w:tc>
        <w:tc>
          <w:tcPr>
            <w:tcW w:w="3249" w:type="dxa"/>
          </w:tcPr>
          <w:p w14:paraId="48EDAAB5" w14:textId="77777777" w:rsidR="006D1FFB" w:rsidRDefault="00000000">
            <w:r>
              <w:rPr>
                <w:sz w:val="20"/>
              </w:rPr>
              <w:t>Continuous Vulnerability Management</w:t>
            </w:r>
          </w:p>
        </w:tc>
        <w:tc>
          <w:tcPr>
            <w:tcW w:w="3249" w:type="dxa"/>
          </w:tcPr>
          <w:p w14:paraId="60BAB2AD" w14:textId="77777777" w:rsidR="006D1FFB" w:rsidRDefault="00000000">
            <w:r>
              <w:rPr>
                <w:sz w:val="20"/>
              </w:rPr>
              <w:t>7</w:t>
            </w:r>
          </w:p>
        </w:tc>
      </w:tr>
      <w:tr w:rsidR="006D1FFB" w14:paraId="5A52FAA3" w14:textId="77777777">
        <w:tc>
          <w:tcPr>
            <w:tcW w:w="3249" w:type="dxa"/>
            <w:shd w:val="clear" w:color="auto" w:fill="E6E6E6"/>
          </w:tcPr>
          <w:p w14:paraId="509DD63A" w14:textId="77777777" w:rsidR="006D1FFB" w:rsidRDefault="00000000">
            <w:r>
              <w:rPr>
                <w:sz w:val="20"/>
              </w:rPr>
              <w:t>8</w:t>
            </w:r>
          </w:p>
        </w:tc>
        <w:tc>
          <w:tcPr>
            <w:tcW w:w="3249" w:type="dxa"/>
            <w:shd w:val="clear" w:color="auto" w:fill="E6E6E6"/>
          </w:tcPr>
          <w:p w14:paraId="52305D97" w14:textId="77777777" w:rsidR="006D1FFB" w:rsidRDefault="00000000">
            <w:r>
              <w:rPr>
                <w:sz w:val="20"/>
              </w:rPr>
              <w:t>Audit Log Management</w:t>
            </w:r>
          </w:p>
        </w:tc>
        <w:tc>
          <w:tcPr>
            <w:tcW w:w="3249" w:type="dxa"/>
            <w:shd w:val="clear" w:color="auto" w:fill="E6E6E6"/>
          </w:tcPr>
          <w:p w14:paraId="248340A0" w14:textId="77777777" w:rsidR="006D1FFB" w:rsidRDefault="00000000">
            <w:r>
              <w:rPr>
                <w:sz w:val="20"/>
              </w:rPr>
              <w:t>7, 11</w:t>
            </w:r>
          </w:p>
        </w:tc>
      </w:tr>
      <w:tr w:rsidR="006D1FFB" w14:paraId="2D33A1A2" w14:textId="77777777">
        <w:tc>
          <w:tcPr>
            <w:tcW w:w="3249" w:type="dxa"/>
          </w:tcPr>
          <w:p w14:paraId="3C66281D" w14:textId="77777777" w:rsidR="006D1FFB" w:rsidRDefault="00000000">
            <w:r>
              <w:rPr>
                <w:sz w:val="20"/>
              </w:rPr>
              <w:t>9</w:t>
            </w:r>
          </w:p>
        </w:tc>
        <w:tc>
          <w:tcPr>
            <w:tcW w:w="3249" w:type="dxa"/>
          </w:tcPr>
          <w:p w14:paraId="361DC5C4" w14:textId="77777777" w:rsidR="006D1FFB" w:rsidRDefault="00000000">
            <w:r>
              <w:rPr>
                <w:sz w:val="20"/>
              </w:rPr>
              <w:t>Email and Web Browser Protections</w:t>
            </w:r>
          </w:p>
        </w:tc>
        <w:tc>
          <w:tcPr>
            <w:tcW w:w="3249" w:type="dxa"/>
          </w:tcPr>
          <w:p w14:paraId="2F38B2E4" w14:textId="77777777" w:rsidR="006D1FFB" w:rsidRDefault="00000000">
            <w:r>
              <w:rPr>
                <w:sz w:val="20"/>
              </w:rPr>
              <w:t>8</w:t>
            </w:r>
          </w:p>
        </w:tc>
      </w:tr>
      <w:tr w:rsidR="006D1FFB" w14:paraId="045A531A" w14:textId="77777777">
        <w:tc>
          <w:tcPr>
            <w:tcW w:w="3249" w:type="dxa"/>
            <w:shd w:val="clear" w:color="auto" w:fill="E6E6E6"/>
          </w:tcPr>
          <w:p w14:paraId="30CC7E4C" w14:textId="77777777" w:rsidR="006D1FFB" w:rsidRDefault="00000000">
            <w:r>
              <w:rPr>
                <w:sz w:val="20"/>
              </w:rPr>
              <w:t>10</w:t>
            </w:r>
          </w:p>
        </w:tc>
        <w:tc>
          <w:tcPr>
            <w:tcW w:w="3249" w:type="dxa"/>
            <w:shd w:val="clear" w:color="auto" w:fill="E6E6E6"/>
          </w:tcPr>
          <w:p w14:paraId="3015F729" w14:textId="77777777" w:rsidR="006D1FFB" w:rsidRDefault="00000000">
            <w:r>
              <w:rPr>
                <w:sz w:val="20"/>
              </w:rPr>
              <w:t>Malware Defenses</w:t>
            </w:r>
          </w:p>
        </w:tc>
        <w:tc>
          <w:tcPr>
            <w:tcW w:w="3249" w:type="dxa"/>
            <w:shd w:val="clear" w:color="auto" w:fill="E6E6E6"/>
          </w:tcPr>
          <w:p w14:paraId="55B7B9A8" w14:textId="77777777" w:rsidR="006D1FFB" w:rsidRDefault="00000000">
            <w:r>
              <w:rPr>
                <w:sz w:val="20"/>
              </w:rPr>
              <w:t>7, 8</w:t>
            </w:r>
          </w:p>
        </w:tc>
      </w:tr>
      <w:tr w:rsidR="006D1FFB" w14:paraId="563AB54B" w14:textId="77777777">
        <w:tc>
          <w:tcPr>
            <w:tcW w:w="3249" w:type="dxa"/>
          </w:tcPr>
          <w:p w14:paraId="1832C398" w14:textId="77777777" w:rsidR="006D1FFB" w:rsidRDefault="00000000">
            <w:r>
              <w:rPr>
                <w:sz w:val="20"/>
              </w:rPr>
              <w:t>11</w:t>
            </w:r>
          </w:p>
        </w:tc>
        <w:tc>
          <w:tcPr>
            <w:tcW w:w="3249" w:type="dxa"/>
          </w:tcPr>
          <w:p w14:paraId="6E866C11" w14:textId="77777777" w:rsidR="006D1FFB" w:rsidRDefault="00000000">
            <w:r>
              <w:rPr>
                <w:sz w:val="20"/>
              </w:rPr>
              <w:t>Data Recovery</w:t>
            </w:r>
          </w:p>
        </w:tc>
        <w:tc>
          <w:tcPr>
            <w:tcW w:w="3249" w:type="dxa"/>
          </w:tcPr>
          <w:p w14:paraId="35ECBDD0" w14:textId="77777777" w:rsidR="006D1FFB" w:rsidRDefault="00000000">
            <w:r>
              <w:rPr>
                <w:sz w:val="20"/>
              </w:rPr>
              <w:t>9</w:t>
            </w:r>
          </w:p>
        </w:tc>
      </w:tr>
      <w:tr w:rsidR="006D1FFB" w14:paraId="2C9587BD" w14:textId="77777777">
        <w:tc>
          <w:tcPr>
            <w:tcW w:w="3249" w:type="dxa"/>
            <w:shd w:val="clear" w:color="auto" w:fill="E6E6E6"/>
          </w:tcPr>
          <w:p w14:paraId="2549EB32" w14:textId="77777777" w:rsidR="006D1FFB" w:rsidRDefault="00000000">
            <w:r>
              <w:rPr>
                <w:sz w:val="20"/>
              </w:rPr>
              <w:t>12</w:t>
            </w:r>
          </w:p>
        </w:tc>
        <w:tc>
          <w:tcPr>
            <w:tcW w:w="3249" w:type="dxa"/>
            <w:shd w:val="clear" w:color="auto" w:fill="E6E6E6"/>
          </w:tcPr>
          <w:p w14:paraId="1FD094B0" w14:textId="77777777" w:rsidR="006D1FFB" w:rsidRDefault="00000000">
            <w:r>
              <w:rPr>
                <w:sz w:val="20"/>
              </w:rPr>
              <w:t>Network Infrastructure Management</w:t>
            </w:r>
          </w:p>
        </w:tc>
        <w:tc>
          <w:tcPr>
            <w:tcW w:w="3249" w:type="dxa"/>
            <w:shd w:val="clear" w:color="auto" w:fill="E6E6E6"/>
          </w:tcPr>
          <w:p w14:paraId="1FE4EE45" w14:textId="77777777" w:rsidR="006D1FFB" w:rsidRDefault="00000000">
            <w:r>
              <w:rPr>
                <w:sz w:val="20"/>
              </w:rPr>
              <w:t>7</w:t>
            </w:r>
          </w:p>
        </w:tc>
      </w:tr>
      <w:tr w:rsidR="006D1FFB" w14:paraId="084DD07A" w14:textId="77777777">
        <w:tc>
          <w:tcPr>
            <w:tcW w:w="3249" w:type="dxa"/>
          </w:tcPr>
          <w:p w14:paraId="7F8519C0" w14:textId="77777777" w:rsidR="006D1FFB" w:rsidRDefault="00000000">
            <w:r>
              <w:rPr>
                <w:sz w:val="20"/>
              </w:rPr>
              <w:t>13</w:t>
            </w:r>
          </w:p>
        </w:tc>
        <w:tc>
          <w:tcPr>
            <w:tcW w:w="3249" w:type="dxa"/>
          </w:tcPr>
          <w:p w14:paraId="3039CE84" w14:textId="77777777" w:rsidR="006D1FFB" w:rsidRDefault="00000000">
            <w:r>
              <w:rPr>
                <w:sz w:val="20"/>
              </w:rPr>
              <w:t>Network Monitoring and Defense</w:t>
            </w:r>
          </w:p>
        </w:tc>
        <w:tc>
          <w:tcPr>
            <w:tcW w:w="3249" w:type="dxa"/>
          </w:tcPr>
          <w:p w14:paraId="34B469DB" w14:textId="77777777" w:rsidR="006D1FFB" w:rsidRDefault="00000000">
            <w:r>
              <w:rPr>
                <w:sz w:val="20"/>
              </w:rPr>
              <w:t>7</w:t>
            </w:r>
          </w:p>
        </w:tc>
      </w:tr>
      <w:tr w:rsidR="006D1FFB" w14:paraId="0D155358" w14:textId="77777777">
        <w:tc>
          <w:tcPr>
            <w:tcW w:w="3249" w:type="dxa"/>
            <w:shd w:val="clear" w:color="auto" w:fill="E6E6E6"/>
          </w:tcPr>
          <w:p w14:paraId="2C438A99" w14:textId="77777777" w:rsidR="006D1FFB" w:rsidRDefault="00000000">
            <w:r>
              <w:rPr>
                <w:sz w:val="20"/>
              </w:rPr>
              <w:t>14</w:t>
            </w:r>
          </w:p>
        </w:tc>
        <w:tc>
          <w:tcPr>
            <w:tcW w:w="3249" w:type="dxa"/>
            <w:shd w:val="clear" w:color="auto" w:fill="E6E6E6"/>
          </w:tcPr>
          <w:p w14:paraId="3628E4DA" w14:textId="77777777" w:rsidR="006D1FFB" w:rsidRDefault="00000000">
            <w:r>
              <w:rPr>
                <w:sz w:val="20"/>
              </w:rPr>
              <w:t>Security Awareness and Skills Training</w:t>
            </w:r>
          </w:p>
        </w:tc>
        <w:tc>
          <w:tcPr>
            <w:tcW w:w="3249" w:type="dxa"/>
            <w:shd w:val="clear" w:color="auto" w:fill="E6E6E6"/>
          </w:tcPr>
          <w:p w14:paraId="59E04DCB" w14:textId="77777777" w:rsidR="006D1FFB" w:rsidRDefault="00000000">
            <w:r>
              <w:rPr>
                <w:sz w:val="20"/>
              </w:rPr>
              <w:t>12</w:t>
            </w:r>
          </w:p>
        </w:tc>
      </w:tr>
      <w:tr w:rsidR="006D1FFB" w14:paraId="34A3CA5F" w14:textId="77777777">
        <w:tc>
          <w:tcPr>
            <w:tcW w:w="3249" w:type="dxa"/>
          </w:tcPr>
          <w:p w14:paraId="062B0E58" w14:textId="77777777" w:rsidR="006D1FFB" w:rsidRDefault="00000000">
            <w:r>
              <w:rPr>
                <w:sz w:val="20"/>
              </w:rPr>
              <w:t>15</w:t>
            </w:r>
          </w:p>
        </w:tc>
        <w:tc>
          <w:tcPr>
            <w:tcW w:w="3249" w:type="dxa"/>
          </w:tcPr>
          <w:p w14:paraId="3CD2025D" w14:textId="77777777" w:rsidR="006D1FFB" w:rsidRDefault="00000000">
            <w:r>
              <w:rPr>
                <w:sz w:val="20"/>
              </w:rPr>
              <w:t>Service Provider Management</w:t>
            </w:r>
          </w:p>
        </w:tc>
        <w:tc>
          <w:tcPr>
            <w:tcW w:w="3249" w:type="dxa"/>
          </w:tcPr>
          <w:p w14:paraId="5FB16CB2" w14:textId="77777777" w:rsidR="006D1FFB" w:rsidRDefault="00000000">
            <w:r>
              <w:rPr>
                <w:sz w:val="20"/>
              </w:rPr>
              <w:t>10</w:t>
            </w:r>
          </w:p>
        </w:tc>
      </w:tr>
      <w:tr w:rsidR="006D1FFB" w14:paraId="5DE056D5" w14:textId="77777777">
        <w:tc>
          <w:tcPr>
            <w:tcW w:w="3249" w:type="dxa"/>
            <w:shd w:val="clear" w:color="auto" w:fill="E6E6E6"/>
          </w:tcPr>
          <w:p w14:paraId="0A9772F6" w14:textId="77777777" w:rsidR="006D1FFB" w:rsidRDefault="00000000">
            <w:r>
              <w:rPr>
                <w:sz w:val="20"/>
              </w:rPr>
              <w:t>16</w:t>
            </w:r>
          </w:p>
        </w:tc>
        <w:tc>
          <w:tcPr>
            <w:tcW w:w="3249" w:type="dxa"/>
            <w:shd w:val="clear" w:color="auto" w:fill="E6E6E6"/>
          </w:tcPr>
          <w:p w14:paraId="6F21EFAD" w14:textId="77777777" w:rsidR="006D1FFB" w:rsidRDefault="00000000">
            <w:r>
              <w:rPr>
                <w:sz w:val="20"/>
              </w:rPr>
              <w:t>Application Software Security</w:t>
            </w:r>
          </w:p>
        </w:tc>
        <w:tc>
          <w:tcPr>
            <w:tcW w:w="3249" w:type="dxa"/>
            <w:shd w:val="clear" w:color="auto" w:fill="E6E6E6"/>
          </w:tcPr>
          <w:p w14:paraId="03F4B56A" w14:textId="77777777" w:rsidR="006D1FFB" w:rsidRDefault="00000000">
            <w:r>
              <w:rPr>
                <w:i/>
                <w:sz w:val="20"/>
              </w:rPr>
              <w:t>[CLIENT-SPECIFIC - add if in-house development]</w:t>
            </w:r>
          </w:p>
        </w:tc>
      </w:tr>
      <w:tr w:rsidR="006D1FFB" w14:paraId="77B91EB2" w14:textId="77777777">
        <w:tc>
          <w:tcPr>
            <w:tcW w:w="3249" w:type="dxa"/>
          </w:tcPr>
          <w:p w14:paraId="0270137B" w14:textId="77777777" w:rsidR="006D1FFB" w:rsidRDefault="00000000">
            <w:r>
              <w:rPr>
                <w:sz w:val="20"/>
              </w:rPr>
              <w:t>17</w:t>
            </w:r>
          </w:p>
        </w:tc>
        <w:tc>
          <w:tcPr>
            <w:tcW w:w="3249" w:type="dxa"/>
          </w:tcPr>
          <w:p w14:paraId="20A810F4" w14:textId="77777777" w:rsidR="006D1FFB" w:rsidRDefault="00000000">
            <w:r>
              <w:rPr>
                <w:sz w:val="20"/>
              </w:rPr>
              <w:t>Incident Response Management</w:t>
            </w:r>
          </w:p>
        </w:tc>
        <w:tc>
          <w:tcPr>
            <w:tcW w:w="3249" w:type="dxa"/>
          </w:tcPr>
          <w:p w14:paraId="6A9F2E1E" w14:textId="77777777" w:rsidR="006D1FFB" w:rsidRDefault="00000000">
            <w:r>
              <w:rPr>
                <w:sz w:val="20"/>
              </w:rPr>
              <w:t>11</w:t>
            </w:r>
          </w:p>
        </w:tc>
      </w:tr>
      <w:tr w:rsidR="006D1FFB" w14:paraId="3390FD7D" w14:textId="77777777">
        <w:tc>
          <w:tcPr>
            <w:tcW w:w="3249" w:type="dxa"/>
            <w:shd w:val="clear" w:color="auto" w:fill="E6E6E6"/>
          </w:tcPr>
          <w:p w14:paraId="13DB7ECA" w14:textId="77777777" w:rsidR="006D1FFB" w:rsidRDefault="00000000">
            <w:r>
              <w:rPr>
                <w:sz w:val="20"/>
              </w:rPr>
              <w:t>18</w:t>
            </w:r>
          </w:p>
        </w:tc>
        <w:tc>
          <w:tcPr>
            <w:tcW w:w="3249" w:type="dxa"/>
            <w:shd w:val="clear" w:color="auto" w:fill="E6E6E6"/>
          </w:tcPr>
          <w:p w14:paraId="669BC30D" w14:textId="77777777" w:rsidR="006D1FFB" w:rsidRDefault="00000000">
            <w:r>
              <w:rPr>
                <w:sz w:val="20"/>
              </w:rPr>
              <w:t>Penetration Testing</w:t>
            </w:r>
          </w:p>
        </w:tc>
        <w:tc>
          <w:tcPr>
            <w:tcW w:w="3249" w:type="dxa"/>
            <w:shd w:val="clear" w:color="auto" w:fill="E6E6E6"/>
          </w:tcPr>
          <w:p w14:paraId="0096C85B" w14:textId="77777777" w:rsidR="006D1FFB" w:rsidRDefault="00000000">
            <w:r>
              <w:rPr>
                <w:i/>
                <w:sz w:val="20"/>
              </w:rPr>
              <w:t>[CLIENT-SPECIFIC - add if formal programme in place]</w:t>
            </w:r>
          </w:p>
        </w:tc>
      </w:tr>
    </w:tbl>
    <w:p w14:paraId="5C596140" w14:textId="77777777" w:rsidR="006D1FFB" w:rsidRDefault="00000000">
      <w:pPr>
        <w:keepNext/>
        <w:spacing w:before="280" w:after="120"/>
      </w:pPr>
      <w:r>
        <w:rPr>
          <w:b/>
          <w:color w:val="F08013"/>
          <w:sz w:val="28"/>
        </w:rPr>
        <w:t>Appendix B - NZ Privacy Act 2020 Information Privacy Principles</w:t>
      </w:r>
    </w:p>
    <w:tbl>
      <w:tblPr>
        <w:tblStyle w:val="TableGrid"/>
        <w:tblW w:w="0" w:type="auto"/>
        <w:tblLook w:val="04A0" w:firstRow="1" w:lastRow="0" w:firstColumn="1" w:lastColumn="0" w:noHBand="0" w:noVBand="1"/>
      </w:tblPr>
      <w:tblGrid>
        <w:gridCol w:w="3245"/>
        <w:gridCol w:w="3246"/>
        <w:gridCol w:w="3245"/>
      </w:tblGrid>
      <w:tr w:rsidR="006D1FFB" w14:paraId="5B7598F5" w14:textId="77777777">
        <w:tc>
          <w:tcPr>
            <w:tcW w:w="3249" w:type="dxa"/>
            <w:shd w:val="clear" w:color="auto" w:fill="F08013"/>
            <w:vAlign w:val="center"/>
          </w:tcPr>
          <w:p w14:paraId="6BF4CC78" w14:textId="77777777" w:rsidR="006D1FFB" w:rsidRDefault="00000000">
            <w:r>
              <w:rPr>
                <w:b/>
                <w:color w:val="FFFFFF"/>
                <w:sz w:val="20"/>
              </w:rPr>
              <w:t>IPP</w:t>
            </w:r>
          </w:p>
        </w:tc>
        <w:tc>
          <w:tcPr>
            <w:tcW w:w="3249" w:type="dxa"/>
            <w:shd w:val="clear" w:color="auto" w:fill="F08013"/>
            <w:vAlign w:val="center"/>
          </w:tcPr>
          <w:p w14:paraId="295515A0" w14:textId="77777777" w:rsidR="006D1FFB" w:rsidRDefault="00000000">
            <w:r>
              <w:rPr>
                <w:b/>
                <w:color w:val="FFFFFF"/>
                <w:sz w:val="20"/>
              </w:rPr>
              <w:t>Topic</w:t>
            </w:r>
          </w:p>
        </w:tc>
        <w:tc>
          <w:tcPr>
            <w:tcW w:w="3249" w:type="dxa"/>
            <w:shd w:val="clear" w:color="auto" w:fill="F08013"/>
            <w:vAlign w:val="center"/>
          </w:tcPr>
          <w:p w14:paraId="402B62AF" w14:textId="77777777" w:rsidR="006D1FFB" w:rsidRDefault="00000000">
            <w:r>
              <w:rPr>
                <w:b/>
                <w:color w:val="FFFFFF"/>
                <w:sz w:val="20"/>
              </w:rPr>
              <w:t>Covered in section</w:t>
            </w:r>
          </w:p>
        </w:tc>
      </w:tr>
      <w:tr w:rsidR="006D1FFB" w14:paraId="64E6DC80" w14:textId="77777777">
        <w:tc>
          <w:tcPr>
            <w:tcW w:w="3249" w:type="dxa"/>
          </w:tcPr>
          <w:p w14:paraId="4979D07C" w14:textId="77777777" w:rsidR="006D1FFB" w:rsidRDefault="00000000">
            <w:r>
              <w:rPr>
                <w:sz w:val="20"/>
              </w:rPr>
              <w:t>1</w:t>
            </w:r>
          </w:p>
        </w:tc>
        <w:tc>
          <w:tcPr>
            <w:tcW w:w="3249" w:type="dxa"/>
          </w:tcPr>
          <w:p w14:paraId="61400AF3" w14:textId="77777777" w:rsidR="006D1FFB" w:rsidRDefault="00000000">
            <w:r>
              <w:rPr>
                <w:sz w:val="20"/>
              </w:rPr>
              <w:t>Purpose of collection</w:t>
            </w:r>
          </w:p>
        </w:tc>
        <w:tc>
          <w:tcPr>
            <w:tcW w:w="3249" w:type="dxa"/>
          </w:tcPr>
          <w:p w14:paraId="70F0E750" w14:textId="77777777" w:rsidR="006D1FFB" w:rsidRDefault="00000000">
            <w:r>
              <w:rPr>
                <w:sz w:val="20"/>
              </w:rPr>
              <w:t>6</w:t>
            </w:r>
          </w:p>
        </w:tc>
      </w:tr>
      <w:tr w:rsidR="006D1FFB" w14:paraId="68BFD5AF" w14:textId="77777777">
        <w:tc>
          <w:tcPr>
            <w:tcW w:w="3249" w:type="dxa"/>
            <w:shd w:val="clear" w:color="auto" w:fill="E6E6E6"/>
          </w:tcPr>
          <w:p w14:paraId="07A5FED5" w14:textId="77777777" w:rsidR="006D1FFB" w:rsidRDefault="00000000">
            <w:r>
              <w:rPr>
                <w:sz w:val="20"/>
              </w:rPr>
              <w:t>2</w:t>
            </w:r>
          </w:p>
        </w:tc>
        <w:tc>
          <w:tcPr>
            <w:tcW w:w="3249" w:type="dxa"/>
            <w:shd w:val="clear" w:color="auto" w:fill="E6E6E6"/>
          </w:tcPr>
          <w:p w14:paraId="062DED2D" w14:textId="77777777" w:rsidR="006D1FFB" w:rsidRDefault="00000000">
            <w:r>
              <w:rPr>
                <w:sz w:val="20"/>
              </w:rPr>
              <w:t>Source of personal information</w:t>
            </w:r>
          </w:p>
        </w:tc>
        <w:tc>
          <w:tcPr>
            <w:tcW w:w="3249" w:type="dxa"/>
            <w:shd w:val="clear" w:color="auto" w:fill="E6E6E6"/>
          </w:tcPr>
          <w:p w14:paraId="2AF088E0" w14:textId="77777777" w:rsidR="006D1FFB" w:rsidRDefault="00000000">
            <w:r>
              <w:rPr>
                <w:sz w:val="20"/>
              </w:rPr>
              <w:t>6</w:t>
            </w:r>
          </w:p>
        </w:tc>
      </w:tr>
      <w:tr w:rsidR="006D1FFB" w14:paraId="5806A2C7" w14:textId="77777777">
        <w:tc>
          <w:tcPr>
            <w:tcW w:w="3249" w:type="dxa"/>
          </w:tcPr>
          <w:p w14:paraId="22759263" w14:textId="77777777" w:rsidR="006D1FFB" w:rsidRDefault="00000000">
            <w:r>
              <w:rPr>
                <w:sz w:val="20"/>
              </w:rPr>
              <w:t>3</w:t>
            </w:r>
          </w:p>
        </w:tc>
        <w:tc>
          <w:tcPr>
            <w:tcW w:w="3249" w:type="dxa"/>
          </w:tcPr>
          <w:p w14:paraId="137DA474" w14:textId="77777777" w:rsidR="006D1FFB" w:rsidRDefault="00000000">
            <w:r>
              <w:rPr>
                <w:sz w:val="20"/>
              </w:rPr>
              <w:t>Collection from individual</w:t>
            </w:r>
          </w:p>
        </w:tc>
        <w:tc>
          <w:tcPr>
            <w:tcW w:w="3249" w:type="dxa"/>
          </w:tcPr>
          <w:p w14:paraId="561AAA5D" w14:textId="77777777" w:rsidR="006D1FFB" w:rsidRDefault="00000000">
            <w:r>
              <w:rPr>
                <w:sz w:val="20"/>
              </w:rPr>
              <w:t>6</w:t>
            </w:r>
          </w:p>
        </w:tc>
      </w:tr>
      <w:tr w:rsidR="006D1FFB" w14:paraId="63FDA157" w14:textId="77777777">
        <w:tc>
          <w:tcPr>
            <w:tcW w:w="3249" w:type="dxa"/>
            <w:shd w:val="clear" w:color="auto" w:fill="E6E6E6"/>
          </w:tcPr>
          <w:p w14:paraId="119F82D7" w14:textId="77777777" w:rsidR="006D1FFB" w:rsidRDefault="00000000">
            <w:r>
              <w:rPr>
                <w:sz w:val="20"/>
              </w:rPr>
              <w:t>4</w:t>
            </w:r>
          </w:p>
        </w:tc>
        <w:tc>
          <w:tcPr>
            <w:tcW w:w="3249" w:type="dxa"/>
            <w:shd w:val="clear" w:color="auto" w:fill="E6E6E6"/>
          </w:tcPr>
          <w:p w14:paraId="2F6B1DB7" w14:textId="77777777" w:rsidR="006D1FFB" w:rsidRDefault="00000000">
            <w:r>
              <w:rPr>
                <w:sz w:val="20"/>
              </w:rPr>
              <w:t>Manner of collection</w:t>
            </w:r>
          </w:p>
        </w:tc>
        <w:tc>
          <w:tcPr>
            <w:tcW w:w="3249" w:type="dxa"/>
            <w:shd w:val="clear" w:color="auto" w:fill="E6E6E6"/>
          </w:tcPr>
          <w:p w14:paraId="3B5FC461" w14:textId="77777777" w:rsidR="006D1FFB" w:rsidRDefault="00000000">
            <w:r>
              <w:rPr>
                <w:sz w:val="20"/>
              </w:rPr>
              <w:t>6</w:t>
            </w:r>
          </w:p>
        </w:tc>
      </w:tr>
      <w:tr w:rsidR="006D1FFB" w14:paraId="22B8F395" w14:textId="77777777">
        <w:tc>
          <w:tcPr>
            <w:tcW w:w="3249" w:type="dxa"/>
          </w:tcPr>
          <w:p w14:paraId="14237A39" w14:textId="77777777" w:rsidR="006D1FFB" w:rsidRDefault="00000000">
            <w:r>
              <w:rPr>
                <w:sz w:val="20"/>
              </w:rPr>
              <w:t>5</w:t>
            </w:r>
          </w:p>
        </w:tc>
        <w:tc>
          <w:tcPr>
            <w:tcW w:w="3249" w:type="dxa"/>
          </w:tcPr>
          <w:p w14:paraId="30149A99" w14:textId="77777777" w:rsidR="006D1FFB" w:rsidRDefault="00000000">
            <w:r>
              <w:rPr>
                <w:sz w:val="20"/>
              </w:rPr>
              <w:t>Storage and security</w:t>
            </w:r>
          </w:p>
        </w:tc>
        <w:tc>
          <w:tcPr>
            <w:tcW w:w="3249" w:type="dxa"/>
          </w:tcPr>
          <w:p w14:paraId="217BBAC6" w14:textId="77777777" w:rsidR="006D1FFB" w:rsidRDefault="00000000">
            <w:r>
              <w:rPr>
                <w:sz w:val="20"/>
              </w:rPr>
              <w:t>6, 7</w:t>
            </w:r>
          </w:p>
        </w:tc>
      </w:tr>
      <w:tr w:rsidR="006D1FFB" w14:paraId="43AAA24E" w14:textId="77777777">
        <w:tc>
          <w:tcPr>
            <w:tcW w:w="3249" w:type="dxa"/>
            <w:shd w:val="clear" w:color="auto" w:fill="E6E6E6"/>
          </w:tcPr>
          <w:p w14:paraId="2C6550B4" w14:textId="77777777" w:rsidR="006D1FFB" w:rsidRDefault="00000000">
            <w:r>
              <w:rPr>
                <w:sz w:val="20"/>
              </w:rPr>
              <w:t>6</w:t>
            </w:r>
          </w:p>
        </w:tc>
        <w:tc>
          <w:tcPr>
            <w:tcW w:w="3249" w:type="dxa"/>
            <w:shd w:val="clear" w:color="auto" w:fill="E6E6E6"/>
          </w:tcPr>
          <w:p w14:paraId="45D5DE5C" w14:textId="77777777" w:rsidR="006D1FFB" w:rsidRDefault="00000000">
            <w:r>
              <w:rPr>
                <w:sz w:val="20"/>
              </w:rPr>
              <w:t>Access to personal information</w:t>
            </w:r>
          </w:p>
        </w:tc>
        <w:tc>
          <w:tcPr>
            <w:tcW w:w="3249" w:type="dxa"/>
            <w:shd w:val="clear" w:color="auto" w:fill="E6E6E6"/>
          </w:tcPr>
          <w:p w14:paraId="38C04883" w14:textId="77777777" w:rsidR="006D1FFB" w:rsidRDefault="00000000">
            <w:r>
              <w:rPr>
                <w:sz w:val="20"/>
              </w:rPr>
              <w:t>6</w:t>
            </w:r>
          </w:p>
        </w:tc>
      </w:tr>
      <w:tr w:rsidR="006D1FFB" w14:paraId="17B85EF8" w14:textId="77777777">
        <w:tc>
          <w:tcPr>
            <w:tcW w:w="3249" w:type="dxa"/>
          </w:tcPr>
          <w:p w14:paraId="04216694" w14:textId="77777777" w:rsidR="006D1FFB" w:rsidRDefault="00000000">
            <w:r>
              <w:rPr>
                <w:sz w:val="20"/>
              </w:rPr>
              <w:t>7</w:t>
            </w:r>
          </w:p>
        </w:tc>
        <w:tc>
          <w:tcPr>
            <w:tcW w:w="3249" w:type="dxa"/>
          </w:tcPr>
          <w:p w14:paraId="1068DFE2" w14:textId="77777777" w:rsidR="006D1FFB" w:rsidRDefault="00000000">
            <w:r>
              <w:rPr>
                <w:sz w:val="20"/>
              </w:rPr>
              <w:t>Correction of personal information</w:t>
            </w:r>
          </w:p>
        </w:tc>
        <w:tc>
          <w:tcPr>
            <w:tcW w:w="3249" w:type="dxa"/>
          </w:tcPr>
          <w:p w14:paraId="2261A9B6" w14:textId="77777777" w:rsidR="006D1FFB" w:rsidRDefault="00000000">
            <w:r>
              <w:rPr>
                <w:sz w:val="20"/>
              </w:rPr>
              <w:t>6</w:t>
            </w:r>
          </w:p>
        </w:tc>
      </w:tr>
      <w:tr w:rsidR="006D1FFB" w14:paraId="2C0CE5A3" w14:textId="77777777">
        <w:tc>
          <w:tcPr>
            <w:tcW w:w="3249" w:type="dxa"/>
            <w:shd w:val="clear" w:color="auto" w:fill="E6E6E6"/>
          </w:tcPr>
          <w:p w14:paraId="17201E3F" w14:textId="77777777" w:rsidR="006D1FFB" w:rsidRDefault="00000000">
            <w:r>
              <w:rPr>
                <w:sz w:val="20"/>
              </w:rPr>
              <w:t>8</w:t>
            </w:r>
          </w:p>
        </w:tc>
        <w:tc>
          <w:tcPr>
            <w:tcW w:w="3249" w:type="dxa"/>
            <w:shd w:val="clear" w:color="auto" w:fill="E6E6E6"/>
          </w:tcPr>
          <w:p w14:paraId="46351BAC" w14:textId="77777777" w:rsidR="006D1FFB" w:rsidRDefault="00000000">
            <w:r>
              <w:rPr>
                <w:sz w:val="20"/>
              </w:rPr>
              <w:t>Accuracy before use</w:t>
            </w:r>
          </w:p>
        </w:tc>
        <w:tc>
          <w:tcPr>
            <w:tcW w:w="3249" w:type="dxa"/>
            <w:shd w:val="clear" w:color="auto" w:fill="E6E6E6"/>
          </w:tcPr>
          <w:p w14:paraId="7E736594" w14:textId="77777777" w:rsidR="006D1FFB" w:rsidRDefault="00000000">
            <w:r>
              <w:rPr>
                <w:sz w:val="20"/>
              </w:rPr>
              <w:t>6</w:t>
            </w:r>
          </w:p>
        </w:tc>
      </w:tr>
      <w:tr w:rsidR="006D1FFB" w14:paraId="2D76FF15" w14:textId="77777777">
        <w:tc>
          <w:tcPr>
            <w:tcW w:w="3249" w:type="dxa"/>
          </w:tcPr>
          <w:p w14:paraId="05D27642" w14:textId="77777777" w:rsidR="006D1FFB" w:rsidRDefault="00000000">
            <w:r>
              <w:rPr>
                <w:sz w:val="20"/>
              </w:rPr>
              <w:t>9</w:t>
            </w:r>
          </w:p>
        </w:tc>
        <w:tc>
          <w:tcPr>
            <w:tcW w:w="3249" w:type="dxa"/>
          </w:tcPr>
          <w:p w14:paraId="760F85DC" w14:textId="77777777" w:rsidR="006D1FFB" w:rsidRDefault="00000000">
            <w:r>
              <w:rPr>
                <w:sz w:val="20"/>
              </w:rPr>
              <w:t>Retention</w:t>
            </w:r>
          </w:p>
        </w:tc>
        <w:tc>
          <w:tcPr>
            <w:tcW w:w="3249" w:type="dxa"/>
          </w:tcPr>
          <w:p w14:paraId="4C8F387D" w14:textId="77777777" w:rsidR="006D1FFB" w:rsidRDefault="00000000">
            <w:r>
              <w:rPr>
                <w:sz w:val="20"/>
              </w:rPr>
              <w:t>6</w:t>
            </w:r>
          </w:p>
        </w:tc>
      </w:tr>
      <w:tr w:rsidR="006D1FFB" w14:paraId="0968F9C6" w14:textId="77777777">
        <w:tc>
          <w:tcPr>
            <w:tcW w:w="3249" w:type="dxa"/>
            <w:shd w:val="clear" w:color="auto" w:fill="E6E6E6"/>
          </w:tcPr>
          <w:p w14:paraId="4924A324" w14:textId="77777777" w:rsidR="006D1FFB" w:rsidRDefault="00000000">
            <w:r>
              <w:rPr>
                <w:sz w:val="20"/>
              </w:rPr>
              <w:t>10</w:t>
            </w:r>
          </w:p>
        </w:tc>
        <w:tc>
          <w:tcPr>
            <w:tcW w:w="3249" w:type="dxa"/>
            <w:shd w:val="clear" w:color="auto" w:fill="E6E6E6"/>
          </w:tcPr>
          <w:p w14:paraId="1D93861B" w14:textId="77777777" w:rsidR="006D1FFB" w:rsidRDefault="00000000">
            <w:r>
              <w:rPr>
                <w:sz w:val="20"/>
              </w:rPr>
              <w:t>Limits on use</w:t>
            </w:r>
          </w:p>
        </w:tc>
        <w:tc>
          <w:tcPr>
            <w:tcW w:w="3249" w:type="dxa"/>
            <w:shd w:val="clear" w:color="auto" w:fill="E6E6E6"/>
          </w:tcPr>
          <w:p w14:paraId="3F8C6E1C" w14:textId="77777777" w:rsidR="006D1FFB" w:rsidRDefault="00000000">
            <w:r>
              <w:rPr>
                <w:sz w:val="20"/>
              </w:rPr>
              <w:t>6</w:t>
            </w:r>
          </w:p>
        </w:tc>
      </w:tr>
      <w:tr w:rsidR="006D1FFB" w14:paraId="3FA19DB5" w14:textId="77777777">
        <w:tc>
          <w:tcPr>
            <w:tcW w:w="3249" w:type="dxa"/>
          </w:tcPr>
          <w:p w14:paraId="1B42CCFD" w14:textId="77777777" w:rsidR="006D1FFB" w:rsidRDefault="00000000">
            <w:r>
              <w:rPr>
                <w:sz w:val="20"/>
              </w:rPr>
              <w:t>11</w:t>
            </w:r>
          </w:p>
        </w:tc>
        <w:tc>
          <w:tcPr>
            <w:tcW w:w="3249" w:type="dxa"/>
          </w:tcPr>
          <w:p w14:paraId="6CBED841" w14:textId="77777777" w:rsidR="006D1FFB" w:rsidRDefault="00000000">
            <w:r>
              <w:rPr>
                <w:sz w:val="20"/>
              </w:rPr>
              <w:t>Limits on disclosure</w:t>
            </w:r>
          </w:p>
        </w:tc>
        <w:tc>
          <w:tcPr>
            <w:tcW w:w="3249" w:type="dxa"/>
          </w:tcPr>
          <w:p w14:paraId="707B275A" w14:textId="77777777" w:rsidR="006D1FFB" w:rsidRDefault="00000000">
            <w:r>
              <w:rPr>
                <w:sz w:val="20"/>
              </w:rPr>
              <w:t>6, 10</w:t>
            </w:r>
          </w:p>
        </w:tc>
      </w:tr>
      <w:tr w:rsidR="006D1FFB" w14:paraId="1B75D17E" w14:textId="77777777">
        <w:tc>
          <w:tcPr>
            <w:tcW w:w="3249" w:type="dxa"/>
            <w:shd w:val="clear" w:color="auto" w:fill="E6E6E6"/>
          </w:tcPr>
          <w:p w14:paraId="362C05E4" w14:textId="77777777" w:rsidR="006D1FFB" w:rsidRDefault="00000000">
            <w:r>
              <w:rPr>
                <w:sz w:val="20"/>
              </w:rPr>
              <w:t>12</w:t>
            </w:r>
          </w:p>
        </w:tc>
        <w:tc>
          <w:tcPr>
            <w:tcW w:w="3249" w:type="dxa"/>
            <w:shd w:val="clear" w:color="auto" w:fill="E6E6E6"/>
          </w:tcPr>
          <w:p w14:paraId="51EACD33" w14:textId="77777777" w:rsidR="006D1FFB" w:rsidRDefault="00000000">
            <w:r>
              <w:rPr>
                <w:sz w:val="20"/>
              </w:rPr>
              <w:t>Cross-border disclosure</w:t>
            </w:r>
          </w:p>
        </w:tc>
        <w:tc>
          <w:tcPr>
            <w:tcW w:w="3249" w:type="dxa"/>
            <w:shd w:val="clear" w:color="auto" w:fill="E6E6E6"/>
          </w:tcPr>
          <w:p w14:paraId="37CF0168" w14:textId="77777777" w:rsidR="006D1FFB" w:rsidRDefault="00000000">
            <w:r>
              <w:rPr>
                <w:sz w:val="20"/>
              </w:rPr>
              <w:t>6, 10</w:t>
            </w:r>
          </w:p>
        </w:tc>
      </w:tr>
      <w:tr w:rsidR="006D1FFB" w14:paraId="6B0B047D" w14:textId="77777777">
        <w:tc>
          <w:tcPr>
            <w:tcW w:w="3249" w:type="dxa"/>
          </w:tcPr>
          <w:p w14:paraId="11F29908" w14:textId="77777777" w:rsidR="006D1FFB" w:rsidRDefault="00000000">
            <w:r>
              <w:rPr>
                <w:sz w:val="20"/>
              </w:rPr>
              <w:t>13</w:t>
            </w:r>
          </w:p>
        </w:tc>
        <w:tc>
          <w:tcPr>
            <w:tcW w:w="3249" w:type="dxa"/>
          </w:tcPr>
          <w:p w14:paraId="22E57B9C" w14:textId="77777777" w:rsidR="006D1FFB" w:rsidRDefault="00000000">
            <w:r>
              <w:rPr>
                <w:sz w:val="20"/>
              </w:rPr>
              <w:t>Unique identifiers</w:t>
            </w:r>
          </w:p>
        </w:tc>
        <w:tc>
          <w:tcPr>
            <w:tcW w:w="3249" w:type="dxa"/>
          </w:tcPr>
          <w:p w14:paraId="58C3CFE2" w14:textId="77777777" w:rsidR="006D1FFB" w:rsidRDefault="00000000">
            <w:r>
              <w:rPr>
                <w:sz w:val="20"/>
              </w:rPr>
              <w:t>6</w:t>
            </w:r>
          </w:p>
        </w:tc>
      </w:tr>
    </w:tbl>
    <w:p w14:paraId="20B82520" w14:textId="77777777" w:rsidR="006D1FFB" w:rsidRDefault="00000000">
      <w:pPr>
        <w:keepNext/>
        <w:spacing w:before="280" w:after="120"/>
      </w:pPr>
      <w:r>
        <w:rPr>
          <w:b/>
          <w:color w:val="F08013"/>
          <w:sz w:val="28"/>
        </w:rPr>
        <w:lastRenderedPageBreak/>
        <w:t>Appendix C - Named contacts</w:t>
      </w:r>
    </w:p>
    <w:tbl>
      <w:tblPr>
        <w:tblStyle w:val="TableGrid"/>
        <w:tblW w:w="0" w:type="auto"/>
        <w:tblLook w:val="04A0" w:firstRow="1" w:lastRow="0" w:firstColumn="1" w:lastColumn="0" w:noHBand="0" w:noVBand="1"/>
      </w:tblPr>
      <w:tblGrid>
        <w:gridCol w:w="2435"/>
        <w:gridCol w:w="2433"/>
        <w:gridCol w:w="2435"/>
        <w:gridCol w:w="2433"/>
      </w:tblGrid>
      <w:tr w:rsidR="006D1FFB" w14:paraId="134195D3" w14:textId="77777777">
        <w:tc>
          <w:tcPr>
            <w:tcW w:w="2436" w:type="dxa"/>
            <w:shd w:val="clear" w:color="auto" w:fill="F08013"/>
            <w:vAlign w:val="center"/>
          </w:tcPr>
          <w:p w14:paraId="5374FDE3" w14:textId="77777777" w:rsidR="006D1FFB" w:rsidRDefault="00000000">
            <w:r>
              <w:rPr>
                <w:b/>
                <w:color w:val="FFFFFF"/>
                <w:sz w:val="20"/>
              </w:rPr>
              <w:t>Role</w:t>
            </w:r>
          </w:p>
        </w:tc>
        <w:tc>
          <w:tcPr>
            <w:tcW w:w="2436" w:type="dxa"/>
            <w:shd w:val="clear" w:color="auto" w:fill="F08013"/>
            <w:vAlign w:val="center"/>
          </w:tcPr>
          <w:p w14:paraId="4A3CCF52" w14:textId="77777777" w:rsidR="006D1FFB" w:rsidRDefault="00000000">
            <w:r>
              <w:rPr>
                <w:b/>
                <w:color w:val="FFFFFF"/>
                <w:sz w:val="20"/>
              </w:rPr>
              <w:t>Name</w:t>
            </w:r>
          </w:p>
        </w:tc>
        <w:tc>
          <w:tcPr>
            <w:tcW w:w="2436" w:type="dxa"/>
            <w:shd w:val="clear" w:color="auto" w:fill="F08013"/>
            <w:vAlign w:val="center"/>
          </w:tcPr>
          <w:p w14:paraId="19EA5F2C" w14:textId="77777777" w:rsidR="006D1FFB" w:rsidRDefault="00000000">
            <w:r>
              <w:rPr>
                <w:b/>
                <w:color w:val="FFFFFF"/>
                <w:sz w:val="20"/>
              </w:rPr>
              <w:t>Email</w:t>
            </w:r>
          </w:p>
        </w:tc>
        <w:tc>
          <w:tcPr>
            <w:tcW w:w="2436" w:type="dxa"/>
            <w:shd w:val="clear" w:color="auto" w:fill="F08013"/>
            <w:vAlign w:val="center"/>
          </w:tcPr>
          <w:p w14:paraId="4F51E16B" w14:textId="77777777" w:rsidR="006D1FFB" w:rsidRDefault="00000000">
            <w:r>
              <w:rPr>
                <w:b/>
                <w:color w:val="FFFFFF"/>
                <w:sz w:val="20"/>
              </w:rPr>
              <w:t>Phone</w:t>
            </w:r>
          </w:p>
        </w:tc>
      </w:tr>
      <w:tr w:rsidR="006D1FFB" w14:paraId="515FF8EC" w14:textId="77777777">
        <w:tc>
          <w:tcPr>
            <w:tcW w:w="2436" w:type="dxa"/>
          </w:tcPr>
          <w:p w14:paraId="561D6BDC" w14:textId="77777777" w:rsidR="006D1FFB" w:rsidRDefault="00000000">
            <w:r>
              <w:rPr>
                <w:sz w:val="20"/>
              </w:rPr>
              <w:t>Director / Policy Owner</w:t>
            </w:r>
          </w:p>
        </w:tc>
        <w:tc>
          <w:tcPr>
            <w:tcW w:w="2436" w:type="dxa"/>
          </w:tcPr>
          <w:p w14:paraId="41BFB734" w14:textId="77777777" w:rsidR="006D1FFB" w:rsidRDefault="00000000">
            <w:r>
              <w:rPr>
                <w:sz w:val="20"/>
              </w:rPr>
              <w:t>[NAME]</w:t>
            </w:r>
          </w:p>
        </w:tc>
        <w:tc>
          <w:tcPr>
            <w:tcW w:w="2436" w:type="dxa"/>
          </w:tcPr>
          <w:p w14:paraId="72E42F63" w14:textId="77777777" w:rsidR="006D1FFB" w:rsidRDefault="00000000">
            <w:r>
              <w:rPr>
                <w:sz w:val="20"/>
              </w:rPr>
              <w:t>[EMAIL]</w:t>
            </w:r>
          </w:p>
        </w:tc>
        <w:tc>
          <w:tcPr>
            <w:tcW w:w="2436" w:type="dxa"/>
          </w:tcPr>
          <w:p w14:paraId="36FADF94" w14:textId="77777777" w:rsidR="006D1FFB" w:rsidRDefault="00000000">
            <w:r>
              <w:rPr>
                <w:sz w:val="20"/>
              </w:rPr>
              <w:t>[PHONE]</w:t>
            </w:r>
          </w:p>
        </w:tc>
      </w:tr>
      <w:tr w:rsidR="006D1FFB" w14:paraId="0D23ECA9" w14:textId="77777777">
        <w:tc>
          <w:tcPr>
            <w:tcW w:w="2436" w:type="dxa"/>
            <w:shd w:val="clear" w:color="auto" w:fill="E6E6E6"/>
          </w:tcPr>
          <w:p w14:paraId="69DD4C80" w14:textId="77777777" w:rsidR="006D1FFB" w:rsidRDefault="00000000">
            <w:r>
              <w:rPr>
                <w:sz w:val="20"/>
              </w:rPr>
              <w:t>Security Lead</w:t>
            </w:r>
          </w:p>
        </w:tc>
        <w:tc>
          <w:tcPr>
            <w:tcW w:w="2436" w:type="dxa"/>
            <w:shd w:val="clear" w:color="auto" w:fill="E6E6E6"/>
          </w:tcPr>
          <w:p w14:paraId="69CCB160" w14:textId="77777777" w:rsidR="006D1FFB" w:rsidRDefault="00000000">
            <w:r>
              <w:rPr>
                <w:sz w:val="20"/>
              </w:rPr>
              <w:t>[NAME]</w:t>
            </w:r>
          </w:p>
        </w:tc>
        <w:tc>
          <w:tcPr>
            <w:tcW w:w="2436" w:type="dxa"/>
            <w:shd w:val="clear" w:color="auto" w:fill="E6E6E6"/>
          </w:tcPr>
          <w:p w14:paraId="6CBD98C6" w14:textId="77777777" w:rsidR="006D1FFB" w:rsidRDefault="00000000">
            <w:r>
              <w:rPr>
                <w:sz w:val="20"/>
              </w:rPr>
              <w:t>[EMAIL]</w:t>
            </w:r>
          </w:p>
        </w:tc>
        <w:tc>
          <w:tcPr>
            <w:tcW w:w="2436" w:type="dxa"/>
            <w:shd w:val="clear" w:color="auto" w:fill="E6E6E6"/>
          </w:tcPr>
          <w:p w14:paraId="409AC928" w14:textId="77777777" w:rsidR="006D1FFB" w:rsidRDefault="00000000">
            <w:r>
              <w:rPr>
                <w:sz w:val="20"/>
              </w:rPr>
              <w:t>[PHONE]</w:t>
            </w:r>
          </w:p>
        </w:tc>
      </w:tr>
      <w:tr w:rsidR="006D1FFB" w14:paraId="2530FADF" w14:textId="77777777">
        <w:tc>
          <w:tcPr>
            <w:tcW w:w="2436" w:type="dxa"/>
          </w:tcPr>
          <w:p w14:paraId="363ABCCD" w14:textId="77777777" w:rsidR="006D1FFB" w:rsidRDefault="00000000">
            <w:r>
              <w:rPr>
                <w:sz w:val="20"/>
              </w:rPr>
              <w:t>IT Provider - Primary</w:t>
            </w:r>
          </w:p>
        </w:tc>
        <w:tc>
          <w:tcPr>
            <w:tcW w:w="2436" w:type="dxa"/>
          </w:tcPr>
          <w:p w14:paraId="0669E12A" w14:textId="77777777" w:rsidR="006D1FFB" w:rsidRDefault="00000000">
            <w:r>
              <w:rPr>
                <w:sz w:val="20"/>
              </w:rPr>
              <w:t>[NAME]</w:t>
            </w:r>
          </w:p>
        </w:tc>
        <w:tc>
          <w:tcPr>
            <w:tcW w:w="2436" w:type="dxa"/>
          </w:tcPr>
          <w:p w14:paraId="26EFAFD2" w14:textId="77777777" w:rsidR="006D1FFB" w:rsidRDefault="00000000">
            <w:r>
              <w:rPr>
                <w:sz w:val="20"/>
              </w:rPr>
              <w:t>[EMAIL]</w:t>
            </w:r>
          </w:p>
        </w:tc>
        <w:tc>
          <w:tcPr>
            <w:tcW w:w="2436" w:type="dxa"/>
          </w:tcPr>
          <w:p w14:paraId="5438E188" w14:textId="77777777" w:rsidR="006D1FFB" w:rsidRDefault="00000000">
            <w:r>
              <w:rPr>
                <w:sz w:val="20"/>
              </w:rPr>
              <w:t>[PHONE]</w:t>
            </w:r>
          </w:p>
        </w:tc>
      </w:tr>
      <w:tr w:rsidR="006D1FFB" w14:paraId="61CD310D" w14:textId="77777777">
        <w:tc>
          <w:tcPr>
            <w:tcW w:w="2436" w:type="dxa"/>
            <w:shd w:val="clear" w:color="auto" w:fill="E6E6E6"/>
          </w:tcPr>
          <w:p w14:paraId="6314F608" w14:textId="77777777" w:rsidR="006D1FFB" w:rsidRDefault="00000000">
            <w:r>
              <w:rPr>
                <w:sz w:val="20"/>
              </w:rPr>
              <w:t>IT Provider - After-hours</w:t>
            </w:r>
          </w:p>
        </w:tc>
        <w:tc>
          <w:tcPr>
            <w:tcW w:w="2436" w:type="dxa"/>
            <w:shd w:val="clear" w:color="auto" w:fill="E6E6E6"/>
          </w:tcPr>
          <w:p w14:paraId="362F7383" w14:textId="77777777" w:rsidR="006D1FFB" w:rsidRDefault="00000000">
            <w:r>
              <w:rPr>
                <w:sz w:val="20"/>
              </w:rPr>
              <w:t>[NAME]</w:t>
            </w:r>
          </w:p>
        </w:tc>
        <w:tc>
          <w:tcPr>
            <w:tcW w:w="2436" w:type="dxa"/>
            <w:shd w:val="clear" w:color="auto" w:fill="E6E6E6"/>
          </w:tcPr>
          <w:p w14:paraId="556F43ED" w14:textId="77777777" w:rsidR="006D1FFB" w:rsidRDefault="00000000">
            <w:r>
              <w:rPr>
                <w:sz w:val="20"/>
              </w:rPr>
              <w:t>[EMAIL]</w:t>
            </w:r>
          </w:p>
        </w:tc>
        <w:tc>
          <w:tcPr>
            <w:tcW w:w="2436" w:type="dxa"/>
            <w:shd w:val="clear" w:color="auto" w:fill="E6E6E6"/>
          </w:tcPr>
          <w:p w14:paraId="288DC50C" w14:textId="77777777" w:rsidR="006D1FFB" w:rsidRDefault="00000000">
            <w:r>
              <w:rPr>
                <w:sz w:val="20"/>
              </w:rPr>
              <w:t>[PHONE]</w:t>
            </w:r>
          </w:p>
        </w:tc>
      </w:tr>
      <w:tr w:rsidR="006D1FFB" w14:paraId="63CFD4A1" w14:textId="77777777">
        <w:tc>
          <w:tcPr>
            <w:tcW w:w="2436" w:type="dxa"/>
          </w:tcPr>
          <w:p w14:paraId="17DFBBCF" w14:textId="77777777" w:rsidR="006D1FFB" w:rsidRDefault="00000000">
            <w:r>
              <w:rPr>
                <w:sz w:val="20"/>
              </w:rPr>
              <w:t>Office of the Privacy Commissioner</w:t>
            </w:r>
          </w:p>
        </w:tc>
        <w:tc>
          <w:tcPr>
            <w:tcW w:w="2436" w:type="dxa"/>
          </w:tcPr>
          <w:p w14:paraId="7D349FE1" w14:textId="77777777" w:rsidR="006D1FFB" w:rsidRDefault="00000000">
            <w:r>
              <w:rPr>
                <w:sz w:val="20"/>
              </w:rPr>
              <w:t>-</w:t>
            </w:r>
          </w:p>
        </w:tc>
        <w:tc>
          <w:tcPr>
            <w:tcW w:w="2436" w:type="dxa"/>
          </w:tcPr>
          <w:p w14:paraId="66E676F8" w14:textId="77777777" w:rsidR="006D1FFB" w:rsidRDefault="00000000">
            <w:r>
              <w:rPr>
                <w:sz w:val="20"/>
              </w:rPr>
              <w:t>privacy@privacy.org.nz</w:t>
            </w:r>
          </w:p>
        </w:tc>
        <w:tc>
          <w:tcPr>
            <w:tcW w:w="2436" w:type="dxa"/>
          </w:tcPr>
          <w:p w14:paraId="326EE83A" w14:textId="77777777" w:rsidR="006D1FFB" w:rsidRDefault="00000000">
            <w:r>
              <w:rPr>
                <w:sz w:val="20"/>
              </w:rPr>
              <w:t>0800 803 909</w:t>
            </w:r>
          </w:p>
        </w:tc>
      </w:tr>
    </w:tbl>
    <w:p w14:paraId="371D2358" w14:textId="77777777" w:rsidR="006D1FFB" w:rsidRDefault="00000000">
      <w:pPr>
        <w:keepNext/>
        <w:spacing w:before="280" w:after="120"/>
      </w:pPr>
      <w:r>
        <w:rPr>
          <w:b/>
          <w:color w:val="F08013"/>
          <w:sz w:val="28"/>
        </w:rPr>
        <w:t>Appendix D - Version history</w:t>
      </w:r>
    </w:p>
    <w:tbl>
      <w:tblPr>
        <w:tblStyle w:val="TableGrid"/>
        <w:tblW w:w="0" w:type="auto"/>
        <w:tblLook w:val="04A0" w:firstRow="1" w:lastRow="0" w:firstColumn="1" w:lastColumn="0" w:noHBand="0" w:noVBand="1"/>
      </w:tblPr>
      <w:tblGrid>
        <w:gridCol w:w="2434"/>
        <w:gridCol w:w="2434"/>
        <w:gridCol w:w="2434"/>
        <w:gridCol w:w="2434"/>
      </w:tblGrid>
      <w:tr w:rsidR="006D1FFB" w14:paraId="02AC9E99" w14:textId="77777777">
        <w:tc>
          <w:tcPr>
            <w:tcW w:w="2436" w:type="dxa"/>
            <w:shd w:val="clear" w:color="auto" w:fill="F08013"/>
            <w:vAlign w:val="center"/>
          </w:tcPr>
          <w:p w14:paraId="73E1AE4C" w14:textId="77777777" w:rsidR="006D1FFB" w:rsidRDefault="00000000">
            <w:r>
              <w:rPr>
                <w:b/>
                <w:color w:val="FFFFFF"/>
                <w:sz w:val="20"/>
              </w:rPr>
              <w:t>Version</w:t>
            </w:r>
          </w:p>
        </w:tc>
        <w:tc>
          <w:tcPr>
            <w:tcW w:w="2436" w:type="dxa"/>
            <w:shd w:val="clear" w:color="auto" w:fill="F08013"/>
            <w:vAlign w:val="center"/>
          </w:tcPr>
          <w:p w14:paraId="33E896D1" w14:textId="77777777" w:rsidR="006D1FFB" w:rsidRDefault="00000000">
            <w:r>
              <w:rPr>
                <w:b/>
                <w:color w:val="FFFFFF"/>
                <w:sz w:val="20"/>
              </w:rPr>
              <w:t>Date</w:t>
            </w:r>
          </w:p>
        </w:tc>
        <w:tc>
          <w:tcPr>
            <w:tcW w:w="2436" w:type="dxa"/>
            <w:shd w:val="clear" w:color="auto" w:fill="F08013"/>
            <w:vAlign w:val="center"/>
          </w:tcPr>
          <w:p w14:paraId="7CEE977B" w14:textId="77777777" w:rsidR="006D1FFB" w:rsidRDefault="00000000">
            <w:r>
              <w:rPr>
                <w:b/>
                <w:color w:val="FFFFFF"/>
                <w:sz w:val="20"/>
              </w:rPr>
              <w:t>Author</w:t>
            </w:r>
          </w:p>
        </w:tc>
        <w:tc>
          <w:tcPr>
            <w:tcW w:w="2436" w:type="dxa"/>
            <w:shd w:val="clear" w:color="auto" w:fill="F08013"/>
            <w:vAlign w:val="center"/>
          </w:tcPr>
          <w:p w14:paraId="6836356E" w14:textId="77777777" w:rsidR="006D1FFB" w:rsidRDefault="00000000">
            <w:r>
              <w:rPr>
                <w:b/>
                <w:color w:val="FFFFFF"/>
                <w:sz w:val="20"/>
              </w:rPr>
              <w:t>Summary of change</w:t>
            </w:r>
          </w:p>
        </w:tc>
      </w:tr>
      <w:tr w:rsidR="006D1FFB" w14:paraId="4A3447A5" w14:textId="77777777">
        <w:tc>
          <w:tcPr>
            <w:tcW w:w="2436" w:type="dxa"/>
          </w:tcPr>
          <w:p w14:paraId="334CFAB2" w14:textId="77777777" w:rsidR="006D1FFB" w:rsidRDefault="00000000">
            <w:r>
              <w:rPr>
                <w:sz w:val="20"/>
              </w:rPr>
              <w:t>1.0</w:t>
            </w:r>
          </w:p>
        </w:tc>
        <w:tc>
          <w:tcPr>
            <w:tcW w:w="2436" w:type="dxa"/>
          </w:tcPr>
          <w:p w14:paraId="2B3A5177" w14:textId="77777777" w:rsidR="006D1FFB" w:rsidRDefault="00000000">
            <w:r>
              <w:rPr>
                <w:sz w:val="20"/>
              </w:rPr>
              <w:t>[DATE]</w:t>
            </w:r>
          </w:p>
        </w:tc>
        <w:tc>
          <w:tcPr>
            <w:tcW w:w="2436" w:type="dxa"/>
          </w:tcPr>
          <w:p w14:paraId="775401B1" w14:textId="77777777" w:rsidR="006D1FFB" w:rsidRDefault="00000000">
            <w:r>
              <w:rPr>
                <w:sz w:val="20"/>
              </w:rPr>
              <w:t>[NAME]</w:t>
            </w:r>
          </w:p>
        </w:tc>
        <w:tc>
          <w:tcPr>
            <w:tcW w:w="2436" w:type="dxa"/>
          </w:tcPr>
          <w:p w14:paraId="6CD1DDBB" w14:textId="77777777" w:rsidR="006D1FFB" w:rsidRDefault="00000000">
            <w:r>
              <w:rPr>
                <w:sz w:val="20"/>
              </w:rPr>
              <w:t>Initial issue</w:t>
            </w:r>
          </w:p>
        </w:tc>
      </w:tr>
    </w:tbl>
    <w:p w14:paraId="52AD5065" w14:textId="77777777" w:rsidR="006D1FFB" w:rsidRDefault="006D1FFB">
      <w:pPr>
        <w:pBdr>
          <w:bottom w:val="single" w:sz="6" w:space="1" w:color="F08013"/>
        </w:pBdr>
      </w:pPr>
    </w:p>
    <w:p w14:paraId="5DF20928" w14:textId="77777777" w:rsidR="006D1FFB" w:rsidRDefault="00000000">
      <w:pPr>
        <w:spacing w:after="120"/>
      </w:pPr>
      <w:r>
        <w:rPr>
          <w:i/>
        </w:rPr>
        <w:t>This template is provided by HybrIT Services NZ as general guidance. [CLIENT NAME] should have its own legal adviser review before formal adoption.</w:t>
      </w:r>
    </w:p>
    <w:sectPr w:rsidR="006D1FFB" w:rsidSect="00034616">
      <w:headerReference w:type="default" r:id="rId8"/>
      <w:footerReference w:type="default" r:id="rId9"/>
      <w:pgSz w:w="12240" w:h="15840"/>
      <w:pgMar w:top="1247" w:right="1247" w:bottom="1247" w:left="124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A51A" w14:textId="77777777" w:rsidR="00D952B4" w:rsidRDefault="00D952B4">
      <w:pPr>
        <w:spacing w:after="0" w:line="240" w:lineRule="auto"/>
      </w:pPr>
      <w:r>
        <w:separator/>
      </w:r>
    </w:p>
  </w:endnote>
  <w:endnote w:type="continuationSeparator" w:id="0">
    <w:p w14:paraId="4603B75D" w14:textId="77777777" w:rsidR="00D952B4" w:rsidRDefault="00D9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325F" w14:textId="77777777" w:rsidR="006D1FFB" w:rsidRDefault="00000000">
    <w:pPr>
      <w:pStyle w:val="Footer"/>
      <w:tabs>
        <w:tab w:val="right" w:pos="9071"/>
      </w:tabs>
    </w:pPr>
    <w:r>
      <w:rPr>
        <w:color w:val="7D868C"/>
        <w:sz w:val="18"/>
      </w:rPr>
      <w:t>HybrIT Services NZ   |   Confidential policy template</w:t>
    </w:r>
    <w:r>
      <w:tab/>
    </w:r>
    <w:r>
      <w:rPr>
        <w:color w:val="7D868C"/>
        <w:sz w:val="18"/>
      </w:rPr>
      <w:fldChar w:fldCharType="begin"/>
    </w:r>
    <w:r>
      <w:rPr>
        <w:color w:val="7D868C"/>
        <w:sz w:val="18"/>
      </w:rPr>
      <w:instrText>PAGE</w:instrText>
    </w:r>
    <w:r w:rsidR="007F6BE3">
      <w:rPr>
        <w:color w:val="7D868C"/>
        <w:sz w:val="18"/>
      </w:rPr>
      <w:fldChar w:fldCharType="separate"/>
    </w:r>
    <w:r w:rsidR="007F6BE3">
      <w:rPr>
        <w:noProof/>
        <w:color w:val="7D868C"/>
        <w:sz w:val="18"/>
      </w:rPr>
      <w:t>1</w:t>
    </w:r>
    <w:r>
      <w:rPr>
        <w:color w:val="7D868C"/>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9136" w14:textId="77777777" w:rsidR="00D952B4" w:rsidRDefault="00D952B4">
      <w:pPr>
        <w:spacing w:after="0" w:line="240" w:lineRule="auto"/>
      </w:pPr>
      <w:r>
        <w:separator/>
      </w:r>
    </w:p>
  </w:footnote>
  <w:footnote w:type="continuationSeparator" w:id="0">
    <w:p w14:paraId="64D67786" w14:textId="77777777" w:rsidR="00D952B4" w:rsidRDefault="00D95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A17E" w14:textId="77777777" w:rsidR="006D1FFB" w:rsidRDefault="00000000">
    <w:pPr>
      <w:pStyle w:val="Header"/>
    </w:pPr>
    <w:r>
      <w:rPr>
        <w:noProof/>
      </w:rPr>
      <w:drawing>
        <wp:inline distT="0" distB="0" distL="0" distR="0" wp14:anchorId="2ED831BB" wp14:editId="36F8A342">
          <wp:extent cx="1645920" cy="3323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_Landscape2000px.png"/>
                  <pic:cNvPicPr/>
                </pic:nvPicPr>
                <pic:blipFill>
                  <a:blip r:embed="rId1"/>
                  <a:stretch>
                    <a:fillRect/>
                  </a:stretch>
                </pic:blipFill>
                <pic:spPr>
                  <a:xfrm>
                    <a:off x="0" y="0"/>
                    <a:ext cx="1645920" cy="332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085444">
    <w:abstractNumId w:val="8"/>
  </w:num>
  <w:num w:numId="2" w16cid:durableId="621957297">
    <w:abstractNumId w:val="6"/>
  </w:num>
  <w:num w:numId="3" w16cid:durableId="1853109280">
    <w:abstractNumId w:val="5"/>
  </w:num>
  <w:num w:numId="4" w16cid:durableId="287708620">
    <w:abstractNumId w:val="4"/>
  </w:num>
  <w:num w:numId="5" w16cid:durableId="916938635">
    <w:abstractNumId w:val="7"/>
  </w:num>
  <w:num w:numId="6" w16cid:durableId="334889167">
    <w:abstractNumId w:val="3"/>
  </w:num>
  <w:num w:numId="7" w16cid:durableId="2134714694">
    <w:abstractNumId w:val="2"/>
  </w:num>
  <w:num w:numId="8" w16cid:durableId="1458916439">
    <w:abstractNumId w:val="1"/>
  </w:num>
  <w:num w:numId="9" w16cid:durableId="112820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D1FFB"/>
    <w:rsid w:val="007F6BE3"/>
    <w:rsid w:val="00A37AF8"/>
    <w:rsid w:val="00AA1D8D"/>
    <w:rsid w:val="00B47730"/>
    <w:rsid w:val="00CB0664"/>
    <w:rsid w:val="00D952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DDA39"/>
  <w14:defaultImageDpi w14:val="300"/>
  <w15:docId w15:val="{D4F36081-6613-48EC-9F5A-2C4D8995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4D4D4D"/>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633ffd76-d031-48ee-9565-6bce91df4e8c}" enabled="1" method="Standard" siteId="{065cf743-5dc7-407b-9646-48f60f4736f9}"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7</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Patricia Aguilar</cp:lastModifiedBy>
  <cp:revision>2</cp:revision>
  <dcterms:created xsi:type="dcterms:W3CDTF">2026-04-20T21:57:00Z</dcterms:created>
  <dcterms:modified xsi:type="dcterms:W3CDTF">2026-04-20T21:57:00Z</dcterms:modified>
  <cp:category/>
</cp:coreProperties>
</file>